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8"/>
        <w:gridCol w:w="1976"/>
        <w:gridCol w:w="1976"/>
        <w:gridCol w:w="1976"/>
        <w:gridCol w:w="1181"/>
      </w:tblGrid>
      <w:tr>
        <w:trPr>
          <w:trHeight w:val="73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197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215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OPRTIME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 (70-113)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 (85-150)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 (67-80)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270 (65.5%)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178 (82.8%)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 (34.5%)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 (17.2%)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403 (97.8%)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195 (99.0%)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(96.7%)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CATHPERIOD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(1-5)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(4-38)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(1-4)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CATHPERIOD_G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 removal ≤3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164 (39.8%)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152 (70.7%)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 removal 4–7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165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 (64.0%)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(18.1%)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Delayed removal &gt;7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(29.9%)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(11.2%)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HOSPTIME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 (2.00-5.50)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5.00 (4.00-6.00)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 (2.00-5.00)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(Q1-Q3);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2026-09-03T11:41:03Z</dcterms:modified>
  <cp:category/>
</cp:coreProperties>
</file>