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8"/>
        <w:gridCol w:w="1976"/>
        <w:gridCol w:w="1976"/>
        <w:gridCol w:w="1976"/>
        <w:gridCol w:w="1181"/>
      </w:tblGrid>
      <w:tr>
        <w:trPr>
          <w:trHeight w:val="73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180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OPRTIME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(70-140)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 (95-160)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(68-80)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 (97.8%)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(97.8%)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(97.8%)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CATHPERIOD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(2-5)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(4-5)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(1-5)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CATHPERIOD_G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 removal ≤3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(36.1%)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removal 4–7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(48.9%)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(75.6%)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Delayed removal &gt;7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HOSPTIME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(3.00-5.00)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(5.00-6.00)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 (2.00-5.00)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(Q1-Q3);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2026-09-03T11:44:36Z</dcterms:modified>
  <cp:category/>
</cp:coreProperties>
</file>