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68"/>
        <w:gridCol w:w="1976"/>
        <w:gridCol w:w="1976"/>
        <w:gridCol w:w="1976"/>
        <w:gridCol w:w="1181"/>
      </w:tblGrid>
      <w:tr>
        <w:trPr>
          <w:trHeight w:val="734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110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55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55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OPRTIME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 (70-135)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 (90-160)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 (67-80)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(67.1%)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(61.0%)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 (73.1%)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(32.9%)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 (39.0%)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0.516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 (97.7%)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 (98.4%)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 (97.1%)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CATHPERIOD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(3-5)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(4-5)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(1-5)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CATHPERIOD_G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Early removal ≤3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(33.1%)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(59.5%)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 removal 4–7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 (50.5%)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(75.8%)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Delayed removal &gt;7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(16.5%)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(17.6%)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HOSPTIME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5.00 (3.00-6.00)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5.00 (5.00-6.00)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 (2.00-5.00)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(Q1-Q3);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Design-based KruskalWallis test; Pearson's X^2: Rao &amp; Scott adjustment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2026-09-03T11:43:15Z</dcterms:modified>
  <cp:category/>
</cp:coreProperties>
</file>