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8"/>
        <w:gridCol w:w="1976"/>
        <w:gridCol w:w="1976"/>
        <w:gridCol w:w="1976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120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OPRTIME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(70-130)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(95-160)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(68-80)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CATHPERIOD_G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removal ≤3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removal 4–7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Delayed removal &gt;7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HOSPTIME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(3.00-6.00)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(5.00-6.00)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(2.00-5.00)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2026-09-03T11:41:56Z</dcterms:modified>
  <cp:category/>
</cp:coreProperties>
</file>