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988"/>
        <w:gridCol w:w="1951"/>
        <w:gridCol w:w="1266"/>
        <w:gridCol w:w="2246"/>
        <w:gridCol w:w="1206"/>
        <w:gridCol w:w="1646"/>
        <w:gridCol w:w="1132"/>
        <w:gridCol w:w="110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p_bonferroni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p_holm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p_FDR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0.86–1.73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0.20–2.48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2.19–7.91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0.23–1.05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Inf–Inf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0.77–1.15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0.00–51949750.10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0.504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0.06–0.10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0.08–0.35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1.35–4.76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0.33–1.26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1.40–12.67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0.50–1.45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0.584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TRT21:STENT1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0.04–2.95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2026-09-03T11:44:11Z</dcterms:modified>
  <cp:category/>
</cp:coreProperties>
</file>