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18"/>
        <w:gridCol w:w="1988"/>
        <w:gridCol w:w="1951"/>
        <w:gridCol w:w="1266"/>
        <w:gridCol w:w="1634"/>
        <w:gridCol w:w="1206"/>
        <w:gridCol w:w="1646"/>
        <w:gridCol w:w="1132"/>
        <w:gridCol w:w="1108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Effect_measure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p_bonferroni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p_holm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p_FDR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LUTD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0.93–1.56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0.192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TRT21:STENT1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0.17–1.07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0.37–124.14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0.224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TRT21:STENT1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0.02–5.31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URCOMPINJ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0.00–0.00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URCOMPINJ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TRT21:STENT1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Inf–Inf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0.69–0.96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TRT21:STENT1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0.02–0.19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ILEUS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0.17–0.22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ILEUS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TRT21:STENT1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0.00–0.00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0.01–0.09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TRT21:STENT1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0.00–0.00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0.14–0.21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TRT21:STENT1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1.02–2.34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PROC365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0.36–0.61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PROC365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TRT21:STENT1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1.03–21.45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POSTUTI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0.42–1.19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0.224</w:t>
            </w:r>
          </w:p>
        </w:tc>
      </w:tr>
      <w:tr>
        <w:trPr>
          <w:trHeight w:val="57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POSTUTI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TRT21:STENT1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0.10–4.22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2026-09-03T11:42:37Z</dcterms:modified>
  <cp:category/>
</cp:coreProperties>
</file>