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18"/>
        <w:gridCol w:w="1951"/>
        <w:gridCol w:w="1266"/>
        <w:gridCol w:w="1389"/>
        <w:gridCol w:w="1206"/>
        <w:gridCol w:w="1646"/>
        <w:gridCol w:w="1132"/>
        <w:gridCol w:w="1108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Effect_measure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p_bonferroni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p_holm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p_FDR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LUTD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1.01–1.88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2.02–7.00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URCOMPINJ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0.28–0.56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SURG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0.64–1.16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ILEUS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0.02–0.10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0.00–0.50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GU90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0.09–0.51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57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PROC365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0.59–1.68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0.986</w:t>
            </w:r>
          </w:p>
        </w:tc>
      </w:tr>
      <w:tr>
        <w:trPr>
          <w:trHeight w:val="57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POSTUTI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0.48–1.31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2026-09-03T11:44:01Z</dcterms:modified>
  <cp:category/>
</cp:coreProperties>
</file>