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951"/>
        <w:gridCol w:w="2257"/>
        <w:gridCol w:w="1646"/>
        <w:gridCol w:w="1829"/>
        <w:gridCol w:w="1756"/>
        <w:gridCol w:w="1866"/>
      </w:tblGrid>
      <w:tr>
        <w:trPr>
          <w:trHeight w:val="617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Year of Surgery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Lich–Gregoir n (%)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Cohen n (%)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weighted_total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Total_percent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Total surgeries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 (100%)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0.7395953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0.6169953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 (0.6%)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2.0084437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1.6755112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(1.7%)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4.9 (72.1%)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1.9 (27.9%)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6.8321610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5.6996181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6.8 (5.7%)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(36%)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7.2 (64%)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11.2030486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9.3459593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11.2 (9.3%)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3.6 (33.1%)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7.2 (66.9%)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10.7679299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8.9829687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10.8 (9%)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4.4 (37.6%)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7.2 (62.4%)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11.6140830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9.6888580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11.6 (9.7%)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6.4 (55.9%)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5.1 (44.1%)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11.4809209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9.5777697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11.5 (9.6%)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 (55.8%)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5.5 (44.2%)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12.5586325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10.4768329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12.6 (10.5%)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10.3 (56.2%)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 (43.8%)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18.3131712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15.2774623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18.3 (15.3%)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5.4 (41.9%)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7.5 (58.1%)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12.8868221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10.7506197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12.9 (10.8%)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6.5 (46%)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7.6 (54%)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14.0985203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11.7614591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14.1 (11.8%)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2.1 (54.2%)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1.8 (45.8%)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3.9291750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3.2778497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3.9 (3.3%)</w:t>
            </w:r>
          </w:p>
        </w:tc>
      </w:tr>
      <w:tr>
        <w:trPr>
          <w:trHeight w:val="617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2.6 (74.5%)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 (25.5%)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3.4380010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2.8680959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3.4 (2.9%)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2026-09-03T11:44:57Z</dcterms:modified>
  <cp:category/>
</cp:coreProperties>
</file>