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2257"/>
        <w:gridCol w:w="1646"/>
        <w:gridCol w:w="186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Surgery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Lich–Gregoir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surgeries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(48.9%)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(9.7%)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(10.9%)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(8.3%)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(14.3%)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(4.4%)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(3.4%)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2026-09-03T11:44:55Z</dcterms:modified>
  <cp:category/>
</cp:coreProperties>
</file>