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A07F1F"/>
          <w:sz w:val="22"/>
        </w:rPr>
        <w:t>ESPRIT · IA FOR SOFTWARE ENGINEERING</w:t>
      </w:r>
    </w:p>
    <w:p>
      <w:pPr>
        <w:spacing w:before="360"/>
        <w:jc w:val="center"/>
      </w:pPr>
      <w:r>
        <w:rPr>
          <w:rFonts w:ascii="Cambria" w:hAnsi="Cambria"/>
          <w:b/>
          <w:color w:val="3D4F1C"/>
          <w:sz w:val="60"/>
        </w:rPr>
        <w:t>Documentation individuelle</w:t>
      </w:r>
    </w:p>
    <w:p>
      <w:pPr>
        <w:jc w:val="center"/>
      </w:pPr>
      <w:r>
        <w:rPr>
          <w:color w:val="1D2214"/>
          <w:sz w:val="28"/>
        </w:rPr>
        <w:t>Usage de l’IA générative, prompts et justification du modèle</w:t>
      </w:r>
    </w:p>
    <w:p>
      <w:pPr>
        <w:spacing w:before="600"/>
        <w:jc w:val="center"/>
      </w:pPr>
      <w:r>
        <w:rPr>
          <w:rFonts w:ascii="Cambria" w:hAnsi="Cambria"/>
          <w:b/>
          <w:color w:val="1D2214"/>
          <w:sz w:val="44"/>
        </w:rPr>
        <w:t>Emna Dorai</w:t>
      </w:r>
    </w:p>
    <w:p>
      <w:pPr>
        <w:jc w:val="center"/>
      </w:pPr>
      <w:r>
        <w:rPr>
          <w:color w:val="3D4F1C"/>
          <w:sz w:val="26"/>
        </w:rPr>
        <w:t>M4 · Prix de l’huile et moment de vente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Projet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Zitouna AI — plateforme d’IA pour les petits oléiculteurs tunisiens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Rôle transversal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Frontend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Classe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5SAE10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Encadrant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Khemiri Akram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Année universitaire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2026 – 2027</w:t>
            </w:r>
          </w:p>
        </w:tc>
      </w:tr>
    </w:tbl>
    <w:p>
      <w:r>
        <w:br w:type="page"/>
      </w:r>
    </w:p>
    <w:p>
      <w:pPr>
        <w:pStyle w:val="Heading1"/>
      </w:pPr>
      <w:r>
        <w:t>1. Contexte et rôle</w:t>
      </w:r>
    </w:p>
    <w:p>
      <w:pPr>
        <w:spacing w:after="120"/>
      </w:pPr>
      <w:r>
        <w:rPr>
          <w:i w:val="0"/>
        </w:rPr>
        <w:t>Dans le projet Zitouna AI, j’ai porté le module M4 · Prix de l’huile et moment de vente de bout en bout : données, modèle, service FastAPI, intégration dans l’application et écran. Type d’IA : Séries temporelles · modèle statistique saisonnier. Rôle transversal : Frontend.</w:t>
      </w:r>
    </w:p>
    <w:p>
      <w:pPr>
        <w:pStyle w:val="Heading1"/>
      </w:pPr>
      <w:r>
        <w:t>2. Outils d’IA générative utilisés</w:t>
      </w:r>
    </w:p>
    <w:p>
      <w:pPr>
        <w:spacing w:after="120"/>
      </w:pPr>
      <w:r>
        <w:rPr>
          <w:i/>
          <w:color w:val="8A8E7D"/>
        </w:rPr>
        <w:t>À compléter — indiquer les outils utilisés (Claude, Copilot, ChatGPT…) et pour quelles tâches.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Outil</w:t>
            </w:r>
          </w:p>
        </w:tc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Nature</w:t>
            </w:r>
          </w:p>
        </w:tc>
        <w:tc>
          <w:tcPr>
            <w:tcW w:type="dxa" w:w="419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3. Méthode de travail avec l’IA</w:t>
      </w:r>
    </w:p>
    <w:p>
      <w:pPr>
        <w:spacing w:after="120"/>
      </w:pPr>
      <w:r>
        <w:rPr>
          <w:i/>
          <w:color w:val="8A8E7D"/>
        </w:rPr>
        <w:t>À compléter — décrire comment vous avez formulé vos demandes à l’IA et comment vous avez vérifié ses réponses.</w:t>
      </w:r>
    </w:p>
    <w:p>
      <w:pPr>
        <w:pStyle w:val="Heading1"/>
      </w:pPr>
      <w:r>
        <w:t>4. Journal des prompts et des interactions</w:t>
      </w:r>
    </w:p>
    <w:p>
      <w:pPr>
        <w:spacing w:after="120"/>
      </w:pPr>
      <w:r>
        <w:rPr>
          <w:i/>
          <w:color w:val="8A8E7D"/>
        </w:rPr>
        <w:t>À compléter — pour chaque échange important : la date, l’objectif, le prompt exact, ce que l’IA a répondu ou fait, et comment vous l’avez vérifié ou corrigé.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36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19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Objectif</w:t>
            </w:r>
          </w:p>
        </w:tc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Prompt</w:t>
            </w:r>
          </w:p>
        </w:tc>
        <w:tc>
          <w:tcPr>
            <w:tcW w:type="dxa" w:w="243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Réponse / action de l’IA</w:t>
            </w:r>
          </w:p>
        </w:tc>
        <w:tc>
          <w:tcPr>
            <w:tcW w:type="dxa" w:w="204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Vérification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5. Justification du modèle d’IA choisi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876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Modèle comparé</w:t>
            </w:r>
          </w:p>
        </w:tc>
        <w:tc>
          <w:tcPr>
            <w:tcW w:type="dxa" w:w="45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Résultat sur les données de test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Prévision naïve (référence)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11,73 %</w:t>
            </w:r>
          </w:p>
        </w:tc>
      </w:tr>
      <w:tr>
        <w:tc>
          <w:tcPr>
            <w:tcW w:type="dxa" w:w="4876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LSTM</w:t>
            </w:r>
          </w:p>
        </w:tc>
        <w:tc>
          <w:tcPr>
            <w:tcW w:type="dxa" w:w="4535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11,77 %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SARIMA (0,1,1)(1,0,1)₁₂ (modèle retenu)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11,33 % · conseil +0,10 TND/kg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i w:val="0"/>
        </w:rPr>
        <w:t>SARIMA est le seul modèle à battre la prévision naïve, fournit un intervalle de confiance, et la marge de prudence de 4 % choisie sur la validation rend le conseil « stocker » rentable (9 conseils sur 10 gagnants).</w:t>
      </w:r>
    </w:p>
    <w:p>
      <w:pPr>
        <w:pStyle w:val="Heading1"/>
      </w:pPr>
      <w:r>
        <w:t>6. Gains de productivité</w:t>
      </w:r>
    </w:p>
    <w:p>
      <w:pPr>
        <w:spacing w:after="120"/>
      </w:pPr>
      <w:r>
        <w:rPr>
          <w:i/>
          <w:color w:val="8A8E7D"/>
        </w:rPr>
        <w:t>À compléter — les tâches que l’IA a accélérées, avec un exemple concret, et ses limites.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Tâche</w:t>
            </w:r>
          </w:p>
        </w:tc>
        <w:tc>
          <w:tcPr>
            <w:tcW w:type="dxa" w:w="362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Apport de l’IA</w:t>
            </w:r>
          </w:p>
        </w:tc>
        <w:tc>
          <w:tcPr>
            <w:tcW w:type="dxa" w:w="294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Limite constatée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7. Limites et bonnes pratiques retenues</w:t>
      </w:r>
    </w:p>
    <w:p>
      <w:pPr>
        <w:spacing w:after="120"/>
      </w:pPr>
      <w:r>
        <w:rPr>
          <w:i/>
          <w:color w:val="8A8E7D"/>
        </w:rPr>
        <w:t>À compléter — les erreurs de l’IA que vous avez corrigées et les bonnes pratiques que vous retenez.</w:t>
      </w:r>
    </w:p>
    <w:p>
      <w:pPr>
        <w:pStyle w:val="Heading1"/>
      </w:pPr>
      <w:r>
        <w:t>8. Conclusion</w:t>
      </w:r>
    </w:p>
    <w:p>
      <w:pPr>
        <w:spacing w:after="120"/>
      </w:pPr>
      <w:r>
        <w:rPr>
          <w:i/>
          <w:color w:val="8A8E7D"/>
        </w:rPr>
        <w:t>À compléter — deux ou trois phrases sur ce que l’IA générative vous a apporté dans ce projet.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E7D"/>
        <w:sz w:val="17"/>
      </w:rPr>
      <w:t xml:space="preserve">IA for Software Engineering · ESPRIT · 5SAE10 ·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8A8E7D"/>
        <w:sz w:val="17"/>
      </w:rPr>
      <w:t>Zitouna AI · Documentation individuelle · Emna Dorai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D22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3D4F1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