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A07F1F"/>
          <w:sz w:val="22"/>
        </w:rPr>
        <w:t>ESPRIT · IA FOR SOFTWARE ENGINEERING</w:t>
      </w:r>
    </w:p>
    <w:p>
      <w:pPr>
        <w:spacing w:before="360"/>
        <w:jc w:val="center"/>
      </w:pPr>
      <w:r>
        <w:rPr>
          <w:rFonts w:ascii="Cambria" w:hAnsi="Cambria"/>
          <w:b/>
          <w:color w:val="3D4F1C"/>
          <w:sz w:val="60"/>
        </w:rPr>
        <w:t>Documentation individuelle</w:t>
      </w:r>
    </w:p>
    <w:p>
      <w:pPr>
        <w:jc w:val="center"/>
      </w:pPr>
      <w:r>
        <w:rPr>
          <w:color w:val="1D2214"/>
          <w:sz w:val="28"/>
        </w:rPr>
        <w:t>Usage de l’IA générative, prompts et justification du modèle</w:t>
      </w:r>
    </w:p>
    <w:p>
      <w:pPr>
        <w:spacing w:before="600"/>
        <w:jc w:val="center"/>
      </w:pPr>
      <w:r>
        <w:rPr>
          <w:rFonts w:ascii="Cambria" w:hAnsi="Cambria"/>
          <w:b/>
          <w:color w:val="1D2214"/>
          <w:sz w:val="44"/>
        </w:rPr>
        <w:t>Med Amine Bejaoui</w:t>
      </w:r>
    </w:p>
    <w:p>
      <w:pPr>
        <w:jc w:val="center"/>
      </w:pPr>
      <w:r>
        <w:rPr>
          <w:color w:val="3D4F1C"/>
          <w:sz w:val="26"/>
        </w:rPr>
        <w:t>M3 · Prévision de la récolte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Projet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Zitouna AI — plateforme d’IA pour les petits oléiculteurs tunisiens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Rôle transversal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Suivi des expériences, dépôt Git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Classe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5SAE10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Encadrant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Khemiri Akram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Année universitaire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2026 – 2027</w:t>
            </w:r>
          </w:p>
        </w:tc>
      </w:tr>
    </w:tbl>
    <w:p>
      <w:r>
        <w:br w:type="page"/>
      </w:r>
    </w:p>
    <w:p>
      <w:pPr>
        <w:pStyle w:val="Heading1"/>
      </w:pPr>
      <w:r>
        <w:t>1. Contexte et rôle</w:t>
      </w:r>
    </w:p>
    <w:p>
      <w:pPr>
        <w:spacing w:after="120"/>
      </w:pPr>
      <w:r>
        <w:rPr>
          <w:i w:val="0"/>
        </w:rPr>
        <w:t>Dans le projet Zitouna AI, j’ai porté le module M3 · Prévision de la récolte de bout en bout : données, modèle, service FastAPI, intégration dans l’application et écran. Type d’IA : Régression sur données tabulaires. Rôle transversal : Suivi des expériences, dépôt Git.</w:t>
      </w:r>
    </w:p>
    <w:p>
      <w:pPr>
        <w:pStyle w:val="Heading1"/>
      </w:pPr>
      <w:r>
        <w:t>2. Outils d’IA générative utilisés</w:t>
      </w:r>
    </w:p>
    <w:p>
      <w:pPr>
        <w:spacing w:after="120"/>
      </w:pPr>
      <w:r>
        <w:rPr>
          <w:i/>
          <w:color w:val="8A8E7D"/>
        </w:rPr>
        <w:t>À compléter — indiquer les outils utilisés (Claude, Copilot, ChatGPT…) et pour quelles tâches.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38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Outil</w:t>
            </w:r>
          </w:p>
        </w:tc>
        <w:tc>
          <w:tcPr>
            <w:tcW w:type="dxa" w:w="283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Nature</w:t>
            </w:r>
          </w:p>
        </w:tc>
        <w:tc>
          <w:tcPr>
            <w:tcW w:type="dxa" w:w="419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</w:tbl>
    <w:p>
      <w:pPr>
        <w:spacing w:after="40"/>
      </w:pPr>
    </w:p>
    <w:p>
      <w:pPr>
        <w:pStyle w:val="Heading1"/>
      </w:pPr>
      <w:r>
        <w:t>3. Méthode de travail avec l’IA</w:t>
      </w:r>
    </w:p>
    <w:p>
      <w:pPr>
        <w:spacing w:after="120"/>
      </w:pPr>
      <w:r>
        <w:rPr>
          <w:i/>
          <w:color w:val="8A8E7D"/>
        </w:rPr>
        <w:t>À compléter — décrire comment vous avez formulé vos demandes à l’IA et comment vous avez vérifié ses réponses.</w:t>
      </w:r>
    </w:p>
    <w:p>
      <w:pPr>
        <w:pStyle w:val="Heading1"/>
      </w:pPr>
      <w:r>
        <w:t>4. Journal des prompts et des interactions</w:t>
      </w:r>
    </w:p>
    <w:p>
      <w:pPr>
        <w:spacing w:after="120"/>
      </w:pPr>
      <w:r>
        <w:rPr>
          <w:i/>
          <w:color w:val="8A8E7D"/>
        </w:rPr>
        <w:t>À compléter — pour chaque échange important : la date, l’objectif, le prompt exact, ce que l’IA a répondu ou fait, et comment vous l’avez vérifié ou corrigé.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36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19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Objectif</w:t>
            </w:r>
          </w:p>
        </w:tc>
        <w:tc>
          <w:tcPr>
            <w:tcW w:type="dxa" w:w="238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Prompt</w:t>
            </w:r>
          </w:p>
        </w:tc>
        <w:tc>
          <w:tcPr>
            <w:tcW w:type="dxa" w:w="2438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Réponse / action de l’IA</w:t>
            </w:r>
          </w:p>
        </w:tc>
        <w:tc>
          <w:tcPr>
            <w:tcW w:type="dxa" w:w="204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Vérification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</w:tbl>
    <w:p>
      <w:pPr>
        <w:spacing w:after="40"/>
      </w:pPr>
    </w:p>
    <w:p>
      <w:pPr>
        <w:pStyle w:val="Heading1"/>
      </w:pPr>
      <w:r>
        <w:t>5. Justification du modèle d’IA choisi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876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Modèle comparé</w:t>
            </w:r>
          </w:p>
        </w:tc>
        <w:tc>
          <w:tcPr>
            <w:tcW w:type="dxa" w:w="453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Résultat sur les données de test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Comme la saison précédente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MAPE 60,7 %</w:t>
            </w:r>
          </w:p>
        </w:tc>
      </w:tr>
      <w:tr>
        <w:tc>
          <w:tcPr>
            <w:tcW w:type="dxa" w:w="4876"/>
            <w:shd w:val="clear" w:color="auto" w:fill="F1F3E8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Régression linéaire (référence)</w:t>
            </w:r>
          </w:p>
        </w:tc>
        <w:tc>
          <w:tcPr>
            <w:tcW w:type="dxa" w:w="4535"/>
            <w:shd w:val="clear" w:color="auto" w:fill="F1F3E8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MAPE 55,7 %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Ridge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MAPE 52,3 %</w:t>
            </w:r>
          </w:p>
        </w:tc>
      </w:tr>
      <w:tr>
        <w:tc>
          <w:tcPr>
            <w:tcW w:type="dxa" w:w="4876"/>
            <w:shd w:val="clear" w:color="auto" w:fill="F1F3E8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Gradient Boosting</w:t>
            </w:r>
          </w:p>
        </w:tc>
        <w:tc>
          <w:tcPr>
            <w:tcW w:type="dxa" w:w="4535"/>
            <w:shd w:val="clear" w:color="auto" w:fill="F1F3E8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MAPE 46,0 %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Random Forest (modèle retenu)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MAPE 40,6 %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i w:val="0"/>
        </w:rPr>
        <w:t>En validation chronologique glissante (2005 → 2024), le Random Forest réduit l’erreur de 27 % par rapport à la régression linéaire, avec peu de données (une saison par an) et sans hypothèse de linéarité.</w:t>
      </w:r>
    </w:p>
    <w:p>
      <w:pPr>
        <w:pStyle w:val="Heading1"/>
      </w:pPr>
      <w:r>
        <w:t>6. Gains de productivité</w:t>
      </w:r>
    </w:p>
    <w:p>
      <w:pPr>
        <w:spacing w:after="120"/>
      </w:pPr>
      <w:r>
        <w:rPr>
          <w:i/>
          <w:color w:val="8A8E7D"/>
        </w:rPr>
        <w:t>À compléter — les tâches que l’IA a accélérées, avec un exemple concret, et ses limites.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83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Tâche</w:t>
            </w:r>
          </w:p>
        </w:tc>
        <w:tc>
          <w:tcPr>
            <w:tcW w:type="dxa" w:w="3628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Apport de l’IA</w:t>
            </w:r>
          </w:p>
        </w:tc>
        <w:tc>
          <w:tcPr>
            <w:tcW w:type="dxa" w:w="2948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Limite constatée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</w:tbl>
    <w:p>
      <w:pPr>
        <w:spacing w:after="40"/>
      </w:pPr>
    </w:p>
    <w:p>
      <w:pPr>
        <w:pStyle w:val="Heading1"/>
      </w:pPr>
      <w:r>
        <w:t>7. Limites et bonnes pratiques retenues</w:t>
      </w:r>
    </w:p>
    <w:p>
      <w:pPr>
        <w:spacing w:after="120"/>
      </w:pPr>
      <w:r>
        <w:rPr>
          <w:i/>
          <w:color w:val="8A8E7D"/>
        </w:rPr>
        <w:t>À compléter — les erreurs de l’IA que vous avez corrigées et les bonnes pratiques que vous retenez.</w:t>
      </w:r>
    </w:p>
    <w:p>
      <w:pPr>
        <w:pStyle w:val="Heading1"/>
      </w:pPr>
      <w:r>
        <w:t>8. Conclusion</w:t>
      </w:r>
    </w:p>
    <w:p>
      <w:pPr>
        <w:spacing w:after="120"/>
      </w:pPr>
      <w:r>
        <w:rPr>
          <w:i/>
          <w:color w:val="8A8E7D"/>
        </w:rPr>
        <w:t>À compléter — deux ou trois phrases sur ce que l’IA générative vous a apporté dans ce projet.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E7D"/>
        <w:sz w:val="17"/>
      </w:rPr>
      <w:t xml:space="preserve">IA for Software Engineering · ESPRIT · 5SAE10 · 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8A8E7D"/>
        <w:sz w:val="17"/>
      </w:rPr>
      <w:t>Zitouna AI · Documentation individuelle · Med Amine Bejaoui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D221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3D4F1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