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A07F1F"/>
          <w:sz w:val="22"/>
        </w:rPr>
        <w:t>ESPRIT · IA FOR SOFTWARE ENGINEERING</w:t>
      </w:r>
    </w:p>
    <w:p>
      <w:pPr>
        <w:spacing w:before="360"/>
        <w:jc w:val="center"/>
      </w:pPr>
      <w:r>
        <w:rPr>
          <w:rFonts w:ascii="Cambria" w:hAnsi="Cambria"/>
          <w:b/>
          <w:color w:val="3D4F1C"/>
          <w:sz w:val="60"/>
        </w:rPr>
        <w:t>Documentation individuelle</w:t>
      </w:r>
    </w:p>
    <w:p>
      <w:pPr>
        <w:jc w:val="center"/>
      </w:pPr>
      <w:r>
        <w:rPr>
          <w:color w:val="1D2214"/>
          <w:sz w:val="28"/>
        </w:rPr>
        <w:t>Usage de l’IA générative, prompts et justification du modèle</w:t>
      </w:r>
    </w:p>
    <w:p>
      <w:pPr>
        <w:spacing w:before="600"/>
        <w:jc w:val="center"/>
      </w:pPr>
      <w:r>
        <w:rPr>
          <w:rFonts w:ascii="Cambria" w:hAnsi="Cambria"/>
          <w:b/>
          <w:color w:val="1D2214"/>
          <w:sz w:val="44"/>
        </w:rPr>
        <w:t>Omar Azouz</w:t>
      </w:r>
    </w:p>
    <w:p>
      <w:pPr>
        <w:jc w:val="center"/>
      </w:pPr>
      <w:r>
        <w:rPr>
          <w:color w:val="3D4F1C"/>
          <w:sz w:val="26"/>
        </w:rPr>
        <w:t>M1 · Diagnostic des maladies des feuilles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E8EDD9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Projet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Zitouna AI — plateforme d’IA pour les petits oléiculteurs tunisiens</w:t>
            </w:r>
          </w:p>
        </w:tc>
      </w:tr>
      <w:tr>
        <w:tc>
          <w:tcPr>
            <w:tcW w:type="dxa" w:w="2835"/>
            <w:shd w:val="clear" w:color="auto" w:fill="E8EDD9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Rôle transversal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Pipeline d’images partagé avec M6</w:t>
            </w:r>
          </w:p>
        </w:tc>
      </w:tr>
      <w:tr>
        <w:tc>
          <w:tcPr>
            <w:tcW w:type="dxa" w:w="2835"/>
            <w:shd w:val="clear" w:color="auto" w:fill="E8EDD9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Classe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5SAE10</w:t>
            </w:r>
          </w:p>
        </w:tc>
      </w:tr>
      <w:tr>
        <w:tc>
          <w:tcPr>
            <w:tcW w:type="dxa" w:w="2835"/>
            <w:shd w:val="clear" w:color="auto" w:fill="E8EDD9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Encadrant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Khemiri Akram</w:t>
            </w:r>
          </w:p>
        </w:tc>
      </w:tr>
      <w:tr>
        <w:tc>
          <w:tcPr>
            <w:tcW w:type="dxa" w:w="2835"/>
            <w:shd w:val="clear" w:color="auto" w:fill="E8EDD9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Année universitaire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2026 – 2027</w:t>
            </w:r>
          </w:p>
        </w:tc>
      </w:tr>
    </w:tbl>
    <w:p>
      <w:r>
        <w:br w:type="page"/>
      </w:r>
    </w:p>
    <w:p>
      <w:pPr>
        <w:pStyle w:val="Heading1"/>
      </w:pPr>
      <w:r>
        <w:t>1. Contexte et rôle</w:t>
      </w:r>
    </w:p>
    <w:p>
      <w:pPr>
        <w:spacing w:after="120"/>
      </w:pPr>
      <w:r>
        <w:rPr>
          <w:i w:val="0"/>
        </w:rPr>
        <w:t>Dans le projet Zitouna AI, j’ai porté le module M1 · Diagnostic des maladies des feuilles de bout en bout : données, modèle, service FastAPI, intégration dans l’application et écran. Type d’IA : Vision par ordinateur · classification d’images. Rôle transversal : Pipeline d’images partagé avec M6.</w:t>
      </w:r>
    </w:p>
    <w:p>
      <w:pPr>
        <w:pStyle w:val="Heading1"/>
      </w:pPr>
      <w:r>
        <w:t>2. Outils d’IA générative utilisés</w:t>
      </w:r>
    </w:p>
    <w:p>
      <w:pPr>
        <w:spacing w:after="120"/>
      </w:pPr>
      <w:r>
        <w:rPr>
          <w:i/>
          <w:color w:val="8A8E7D"/>
        </w:rPr>
        <w:t>À compléter — indiquer les outils utilisés (Claude, Copilot, ChatGPT…) et pour quelles tâches.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Outil</w:t>
            </w:r>
          </w:p>
        </w:tc>
        <w:tc>
          <w:tcPr>
            <w:tcW w:type="dxa" w:w="2835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Nature</w:t>
            </w:r>
          </w:p>
        </w:tc>
        <w:tc>
          <w:tcPr>
            <w:tcW w:type="dxa" w:w="4195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</w:tbl>
    <w:p>
      <w:pPr>
        <w:spacing w:after="40"/>
      </w:pPr>
    </w:p>
    <w:p>
      <w:pPr>
        <w:pStyle w:val="Heading1"/>
      </w:pPr>
      <w:r>
        <w:t>3. Méthode de travail avec l’IA</w:t>
      </w:r>
    </w:p>
    <w:p>
      <w:pPr>
        <w:spacing w:after="120"/>
      </w:pPr>
      <w:r>
        <w:rPr>
          <w:i/>
          <w:color w:val="8A8E7D"/>
        </w:rPr>
        <w:t>À compléter — décrire comment vous avez formulé vos demandes à l’IA et comment vous avez vérifié ses réponses.</w:t>
      </w:r>
    </w:p>
    <w:p>
      <w:pPr>
        <w:pStyle w:val="Heading1"/>
      </w:pPr>
      <w:r>
        <w:t>4. Journal des prompts et des interactions</w:t>
      </w:r>
    </w:p>
    <w:p>
      <w:pPr>
        <w:spacing w:after="120"/>
      </w:pPr>
      <w:r>
        <w:rPr>
          <w:i/>
          <w:color w:val="8A8E7D"/>
        </w:rPr>
        <w:t>À compléter — pour chaque échange important : la date, l’objectif, le prompt exact, ce que l’IA a répondu ou fait, et comment vous l’avez vérifié ou corrigé.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361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191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Objectif</w:t>
            </w:r>
          </w:p>
        </w:tc>
        <w:tc>
          <w:tcPr>
            <w:tcW w:type="dxa" w:w="2381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Prompt</w:t>
            </w:r>
          </w:p>
        </w:tc>
        <w:tc>
          <w:tcPr>
            <w:tcW w:type="dxa" w:w="2438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Réponse / action de l’IA</w:t>
            </w:r>
          </w:p>
        </w:tc>
        <w:tc>
          <w:tcPr>
            <w:tcW w:type="dxa" w:w="2041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Vérification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</w:tbl>
    <w:p>
      <w:pPr>
        <w:spacing w:after="40"/>
      </w:pPr>
    </w:p>
    <w:p>
      <w:pPr>
        <w:pStyle w:val="Heading1"/>
      </w:pPr>
      <w:r>
        <w:t>5. Justification du modèle d’IA choisi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876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Modèle comparé</w:t>
            </w:r>
          </w:p>
        </w:tc>
        <w:tc>
          <w:tcPr>
            <w:tcW w:type="dxa" w:w="4535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Résultat sur les données de test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Petit CNN entraîné de zéro (référence)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Précision 75,2 % · F1 0,741</w:t>
            </w:r>
          </w:p>
        </w:tc>
      </w:tr>
      <w:tr>
        <w:tc>
          <w:tcPr>
            <w:tcW w:type="dxa" w:w="4876"/>
            <w:shd w:val="clear" w:color="auto" w:fill="F1F3E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MobileNetV3-Large affiné (modèle retenu)</w:t>
            </w:r>
          </w:p>
        </w:tc>
        <w:tc>
          <w:tcPr>
            <w:tcW w:type="dxa" w:w="4535"/>
            <w:shd w:val="clear" w:color="auto" w:fill="F1F3E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Précision 97,1 % · F1 0,969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  <w:t>MobileNetV3 préentraîné sur ImageNet puis affiné en deux phases gagne 21,9 points sur la référence, reste léger (exécution sans GPU) et permet une carte Grad-CAM qui explique la décision. Un seuil de confiance de 70 % après calibration évite de donner un diagnostic incertain.</w:t>
      </w:r>
    </w:p>
    <w:p>
      <w:pPr>
        <w:pStyle w:val="Heading1"/>
      </w:pPr>
      <w:r>
        <w:t>6. Gains de productivité</w:t>
      </w:r>
    </w:p>
    <w:p>
      <w:pPr>
        <w:spacing w:after="120"/>
      </w:pPr>
      <w:r>
        <w:rPr>
          <w:i/>
          <w:color w:val="8A8E7D"/>
        </w:rPr>
        <w:t>À compléter — les tâches que l’IA a accélérées, avec un exemple concret, et ses limites.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35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Tâche</w:t>
            </w:r>
          </w:p>
        </w:tc>
        <w:tc>
          <w:tcPr>
            <w:tcW w:type="dxa" w:w="3628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Apport de l’IA</w:t>
            </w:r>
          </w:p>
        </w:tc>
        <w:tc>
          <w:tcPr>
            <w:tcW w:type="dxa" w:w="2948"/>
            <w:shd w:val="clear" w:color="auto" w:fill="3D4F1C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20"/>
              </w:rPr>
              <w:t>Limite constatée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/>
                <w:color w:val="8A8E7D"/>
                <w:sz w:val="20"/>
              </w:rPr>
              <w:t>…</w:t>
            </w:r>
          </w:p>
        </w:tc>
      </w:tr>
    </w:tbl>
    <w:p>
      <w:pPr>
        <w:spacing w:after="40"/>
      </w:pPr>
    </w:p>
    <w:p>
      <w:pPr>
        <w:pStyle w:val="Heading1"/>
      </w:pPr>
      <w:r>
        <w:t>7. Limites et bonnes pratiques retenues</w:t>
      </w:r>
    </w:p>
    <w:p>
      <w:pPr>
        <w:spacing w:after="120"/>
      </w:pPr>
      <w:r>
        <w:rPr>
          <w:i/>
          <w:color w:val="8A8E7D"/>
        </w:rPr>
        <w:t>À compléter — les erreurs de l’IA que vous avez corrigées et les bonnes pratiques que vous retenez.</w:t>
      </w:r>
    </w:p>
    <w:p>
      <w:pPr>
        <w:pStyle w:val="Heading1"/>
      </w:pPr>
      <w:r>
        <w:t>8. Conclusion</w:t>
      </w:r>
    </w:p>
    <w:p>
      <w:pPr>
        <w:spacing w:after="120"/>
      </w:pPr>
      <w:r>
        <w:rPr>
          <w:i/>
          <w:color w:val="8A8E7D"/>
        </w:rPr>
        <w:t>À compléter — deux ou trois phrases sur ce que l’IA générative vous a apporté dans ce projet.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E7D"/>
        <w:sz w:val="17"/>
      </w:rPr>
      <w:t xml:space="preserve">IA for Software Engineering · ESPRIT · 5SAE10 ·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A8E7D"/>
        <w:sz w:val="17"/>
      </w:rPr>
      <w:t>Zitouna AI · Documentation individuelle · Omar Azouz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D22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D4F1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