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A07F1F"/>
          <w:sz w:val="22"/>
        </w:rPr>
        <w:t>ESPRIT · IA FOR SOFTWARE ENGINEERING</w:t>
      </w:r>
    </w:p>
    <w:p>
      <w:pPr>
        <w:spacing w:before="360"/>
        <w:jc w:val="center"/>
      </w:pPr>
      <w:r>
        <w:rPr>
          <w:rFonts w:ascii="Cambria" w:hAnsi="Cambria"/>
          <w:b/>
          <w:color w:val="3D4F1C"/>
          <w:sz w:val="60"/>
        </w:rPr>
        <w:t>Documentation individuelle</w:t>
      </w:r>
    </w:p>
    <w:p>
      <w:pPr>
        <w:jc w:val="center"/>
      </w:pPr>
      <w:r>
        <w:rPr>
          <w:color w:val="1D2214"/>
          <w:sz w:val="28"/>
        </w:rPr>
        <w:t>Usage de l’IA générative, prompts et justification du modèle</w:t>
      </w:r>
    </w:p>
    <w:p>
      <w:pPr>
        <w:spacing w:before="600"/>
        <w:jc w:val="center"/>
      </w:pPr>
      <w:r>
        <w:rPr>
          <w:rFonts w:ascii="Cambria" w:hAnsi="Cambria"/>
          <w:b/>
          <w:color w:val="1D2214"/>
          <w:sz w:val="44"/>
        </w:rPr>
        <w:t>Emna Dorai</w:t>
      </w:r>
    </w:p>
    <w:p>
      <w:pPr>
        <w:jc w:val="center"/>
      </w:pPr>
      <w:r>
        <w:rPr>
          <w:color w:val="3D4F1C"/>
          <w:sz w:val="26"/>
        </w:rPr>
        <w:t>M4 · Prix de l’huile et moment de vente</w:t>
      </w:r>
    </w:p>
    <w:p/>
    <w:p/>
    <w:p/>
    <w:tbl>
      <w:tblPr>
        <w:tblStyle w:val="TableGrid"/>
        <w:tblW w:type="auto" w:w="0"/>
        <w:jc w:val="center"/>
        <w:tblLook w:firstColumn="1" w:firstRow="1" w:lastColumn="0" w:lastRow="0" w:noHBand="0" w:noVBand="1" w:val="04A0"/>
      </w:tblPr>
      <w:tblGrid>
        <w:gridCol w:w="4706"/>
        <w:gridCol w:w="4706"/>
      </w:tblGrid>
      <w:tr>
        <w:tc>
          <w:tcPr>
            <w:tcW w:type="dxa" w:w="2835"/>
            <w:shd w:val="clear" w:color="auto" w:fill="E8EDD9"/>
          </w:tcPr>
          <w:p>
            <w:pPr>
              <w:spacing w:after="0"/>
            </w:pPr>
            <w:r/>
            <w:r>
              <w:rPr>
                <w:b/>
                <w:i w:val="0"/>
                <w:sz w:val="20"/>
              </w:rPr>
              <w:t>Projet</w:t>
            </w:r>
          </w:p>
        </w:tc>
        <w:tc>
          <w:tcPr>
            <w:tcW w:type="dxa" w:w="5953"/>
          </w:tcPr>
          <w:p>
            <w:pPr>
              <w:spacing w:after="0"/>
            </w:pPr>
            <w:r/>
            <w:r>
              <w:rPr>
                <w:b w:val="0"/>
                <w:i w:val="0"/>
                <w:sz w:val="20"/>
              </w:rPr>
              <w:t>Zitouna AI — plateforme d’IA pour les petits oléiculteurs tunisiens</w:t>
            </w:r>
          </w:p>
        </w:tc>
      </w:tr>
      <w:tr>
        <w:tc>
          <w:tcPr>
            <w:tcW w:type="dxa" w:w="2835"/>
            <w:shd w:val="clear" w:color="auto" w:fill="E8EDD9"/>
          </w:tcPr>
          <w:p>
            <w:pPr>
              <w:spacing w:after="0"/>
            </w:pPr>
            <w:r/>
            <w:r>
              <w:rPr>
                <w:b/>
                <w:i w:val="0"/>
                <w:sz w:val="20"/>
              </w:rPr>
              <w:t>Rôle transversal</w:t>
            </w:r>
          </w:p>
        </w:tc>
        <w:tc>
          <w:tcPr>
            <w:tcW w:type="dxa" w:w="5953"/>
          </w:tcPr>
          <w:p>
            <w:pPr>
              <w:spacing w:after="0"/>
            </w:pPr>
            <w:r/>
            <w:r>
              <w:rPr>
                <w:b w:val="0"/>
                <w:i w:val="0"/>
                <w:sz w:val="20"/>
              </w:rPr>
              <w:t>Frontend</w:t>
            </w:r>
          </w:p>
        </w:tc>
      </w:tr>
      <w:tr>
        <w:tc>
          <w:tcPr>
            <w:tcW w:type="dxa" w:w="2835"/>
            <w:shd w:val="clear" w:color="auto" w:fill="E8EDD9"/>
          </w:tcPr>
          <w:p>
            <w:pPr>
              <w:spacing w:after="0"/>
            </w:pPr>
            <w:r/>
            <w:r>
              <w:rPr>
                <w:b/>
                <w:i w:val="0"/>
                <w:sz w:val="20"/>
              </w:rPr>
              <w:t>Classe</w:t>
            </w:r>
          </w:p>
        </w:tc>
        <w:tc>
          <w:tcPr>
            <w:tcW w:type="dxa" w:w="5953"/>
          </w:tcPr>
          <w:p>
            <w:pPr>
              <w:spacing w:after="0"/>
            </w:pPr>
            <w:r/>
            <w:r>
              <w:rPr>
                <w:b w:val="0"/>
                <w:i w:val="0"/>
                <w:sz w:val="20"/>
              </w:rPr>
              <w:t>5SAE10</w:t>
            </w:r>
          </w:p>
        </w:tc>
      </w:tr>
      <w:tr>
        <w:tc>
          <w:tcPr>
            <w:tcW w:type="dxa" w:w="2835"/>
            <w:shd w:val="clear" w:color="auto" w:fill="E8EDD9"/>
          </w:tcPr>
          <w:p>
            <w:pPr>
              <w:spacing w:after="0"/>
            </w:pPr>
            <w:r/>
            <w:r>
              <w:rPr>
                <w:b/>
                <w:i w:val="0"/>
                <w:sz w:val="20"/>
              </w:rPr>
              <w:t>Encadrant</w:t>
            </w:r>
          </w:p>
        </w:tc>
        <w:tc>
          <w:tcPr>
            <w:tcW w:type="dxa" w:w="5953"/>
          </w:tcPr>
          <w:p>
            <w:pPr>
              <w:spacing w:after="0"/>
            </w:pPr>
            <w:r/>
            <w:r>
              <w:rPr>
                <w:b w:val="0"/>
                <w:i w:val="0"/>
                <w:sz w:val="20"/>
              </w:rPr>
              <w:t>Khemiri Akram</w:t>
            </w:r>
          </w:p>
        </w:tc>
      </w:tr>
      <w:tr>
        <w:tc>
          <w:tcPr>
            <w:tcW w:type="dxa" w:w="2835"/>
            <w:shd w:val="clear" w:color="auto" w:fill="E8EDD9"/>
          </w:tcPr>
          <w:p>
            <w:pPr>
              <w:spacing w:after="0"/>
            </w:pPr>
            <w:r/>
            <w:r>
              <w:rPr>
                <w:b/>
                <w:i w:val="0"/>
                <w:sz w:val="20"/>
              </w:rPr>
              <w:t>Année universitaire</w:t>
            </w:r>
          </w:p>
        </w:tc>
        <w:tc>
          <w:tcPr>
            <w:tcW w:type="dxa" w:w="5953"/>
          </w:tcPr>
          <w:p>
            <w:pPr>
              <w:spacing w:after="0"/>
            </w:pPr>
            <w:r/>
            <w:r>
              <w:rPr>
                <w:b w:val="0"/>
                <w:i w:val="0"/>
                <w:sz w:val="20"/>
              </w:rPr>
              <w:t>2026 – 2027</w:t>
            </w:r>
          </w:p>
        </w:tc>
      </w:tr>
    </w:tbl>
    <w:p>
      <w:r>
        <w:br w:type="page"/>
      </w:r>
    </w:p>
    <w:p>
      <w:pPr>
        <w:pStyle w:val="Heading1"/>
      </w:pPr>
      <w:r>
        <w:t>1. Contexte et rôle</w:t>
      </w:r>
    </w:p>
    <w:p>
      <w:pPr>
        <w:spacing w:after="120"/>
      </w:pPr>
      <w:r>
        <w:rPr>
          <w:i w:val="0"/>
        </w:rPr>
        <w:t>Dans le projet Zitouna AI, j’ai porté le module M4 · Prix de l’huile et moment de vente de bout en bout : données, modèle, service FastAPI, intégration dans l’application et écran. Type d’IA : Séries temporelles · modèle statistique saisonnier. Rôle transversal : Frontend.</w:t>
      </w:r>
    </w:p>
    <w:p>
      <w:pPr>
        <w:pStyle w:val="Heading1"/>
      </w:pPr>
      <w:r>
        <w:t>2. Outils d’IA générative utilisés</w:t>
      </w:r>
    </w:p>
    <w:tbl>
      <w:tblPr>
        <w:tblStyle w:val="TableGrid"/>
        <w:tblW w:type="auto" w:w="0"/>
        <w:jc w:val="center"/>
        <w:tblLayout w:type="fixed"/>
        <w:tblLook w:firstColumn="1" w:firstRow="1" w:lastColumn="0" w:lastRow="0" w:noHBand="0" w:noVBand="1" w:val="04A0"/>
      </w:tblPr>
      <w:tblGrid>
        <w:gridCol w:w="3137"/>
        <w:gridCol w:w="3137"/>
        <w:gridCol w:w="3137"/>
      </w:tblGrid>
      <w:tr>
        <w:trPr>
          <w:tblHeader w:val="true"/>
        </w:trPr>
        <w:tc>
          <w:tcPr>
            <w:tcW w:type="dxa" w:w="2381"/>
            <w:shd w:val="clear" w:color="auto" w:fill="3D4F1C"/>
          </w:tcPr>
          <w:p>
            <w:pPr>
              <w:spacing w:after="0"/>
            </w:pPr>
            <w:r/>
            <w:r>
              <w:rPr>
                <w:b/>
                <w:i w:val="0"/>
                <w:color w:val="FFFFFF"/>
                <w:sz w:val="20"/>
              </w:rPr>
              <w:t>Outil</w:t>
            </w:r>
          </w:p>
        </w:tc>
        <w:tc>
          <w:tcPr>
            <w:tcW w:type="dxa" w:w="2835"/>
            <w:shd w:val="clear" w:color="auto" w:fill="3D4F1C"/>
          </w:tcPr>
          <w:p>
            <w:pPr>
              <w:spacing w:after="0"/>
            </w:pPr>
            <w:r/>
            <w:r>
              <w:rPr>
                <w:b/>
                <w:i w:val="0"/>
                <w:color w:val="FFFFFF"/>
                <w:sz w:val="20"/>
              </w:rPr>
              <w:t>Nature</w:t>
            </w:r>
          </w:p>
        </w:tc>
        <w:tc>
          <w:tcPr>
            <w:tcW w:type="dxa" w:w="4195"/>
            <w:shd w:val="clear" w:color="auto" w:fill="3D4F1C"/>
          </w:tcPr>
          <w:p>
            <w:pPr>
              <w:spacing w:after="0"/>
            </w:pPr>
            <w:r/>
            <w:r>
              <w:rPr>
                <w:b/>
                <w:i w:val="0"/>
                <w:color w:val="FFFFFF"/>
                <w:sz w:val="20"/>
              </w:rPr>
              <w:t>Usage</w:t>
            </w:r>
          </w:p>
        </w:tc>
      </w:tr>
      <w:tr>
        <w:tc>
          <w:tcPr>
            <w:tcW w:type="dxa" w:w="2381"/>
          </w:tcPr>
          <w:p>
            <w:pPr>
              <w:spacing w:after="0"/>
            </w:pPr>
            <w:r/>
            <w:r>
              <w:rPr>
                <w:b w:val="0"/>
                <w:i w:val="0"/>
                <w:sz w:val="20"/>
              </w:rPr>
              <w:t>Claude Code (Anthropic)</w:t>
            </w:r>
          </w:p>
        </w:tc>
        <w:tc>
          <w:tcPr>
            <w:tcW w:type="dxa" w:w="2835"/>
          </w:tcPr>
          <w:p>
            <w:pPr>
              <w:spacing w:after="0"/>
            </w:pPr>
            <w:r/>
            <w:r>
              <w:rPr>
                <w:b w:val="0"/>
                <w:i w:val="0"/>
                <w:sz w:val="20"/>
              </w:rPr>
              <w:t>Assistant de développement connecté au dépôt</w:t>
            </w:r>
          </w:p>
        </w:tc>
        <w:tc>
          <w:tcPr>
            <w:tcW w:type="dxa" w:w="4195"/>
          </w:tcPr>
          <w:p>
            <w:pPr>
              <w:spacing w:after="0"/>
            </w:pPr>
            <w:r/>
            <w:r>
              <w:rPr>
                <w:b w:val="0"/>
                <w:i w:val="0"/>
                <w:sz w:val="20"/>
              </w:rPr>
              <w:t>Intégration du module : code, entraînement, tests, documentation</w:t>
            </w:r>
          </w:p>
        </w:tc>
      </w:tr>
      <w:tr>
        <w:tc>
          <w:tcPr>
            <w:tcW w:type="dxa" w:w="2381"/>
            <w:shd w:val="clear" w:color="auto" w:fill="F1F3E8"/>
          </w:tcPr>
          <w:p>
            <w:pPr>
              <w:spacing w:after="0"/>
            </w:pPr>
            <w:r/>
            <w:r>
              <w:rPr>
                <w:b w:val="0"/>
                <w:i w:val="0"/>
                <w:sz w:val="20"/>
              </w:rPr>
              <w:t>À compléter</w:t>
            </w:r>
          </w:p>
        </w:tc>
        <w:tc>
          <w:tcPr>
            <w:tcW w:type="dxa" w:w="2835"/>
            <w:shd w:val="clear" w:color="auto" w:fill="F1F3E8"/>
          </w:tcPr>
          <w:p>
            <w:pPr>
              <w:spacing w:after="0"/>
            </w:pPr>
            <w:r/>
            <w:r>
              <w:rPr>
                <w:b w:val="0"/>
                <w:i w:val="0"/>
                <w:sz w:val="20"/>
              </w:rPr>
              <w:t>Outils utilisés personnellement (Copilot, ChatGPT…)</w:t>
            </w:r>
          </w:p>
        </w:tc>
        <w:tc>
          <w:tcPr>
            <w:tcW w:type="dxa" w:w="4195"/>
            <w:shd w:val="clear" w:color="auto" w:fill="F1F3E8"/>
          </w:tcPr>
          <w:p>
            <w:pPr>
              <w:spacing w:after="0"/>
            </w:pPr>
            <w:r/>
            <w:r>
              <w:rPr>
                <w:b w:val="0"/>
                <w:i w:val="0"/>
                <w:sz w:val="20"/>
              </w:rPr>
              <w:t>…</w:t>
            </w:r>
          </w:p>
        </w:tc>
      </w:tr>
    </w:tbl>
    <w:p>
      <w:pPr>
        <w:spacing w:after="40"/>
      </w:pPr>
    </w:p>
    <w:p>
      <w:pPr>
        <w:pStyle w:val="Heading1"/>
      </w:pPr>
      <w:r>
        <w:t>3. Méthode de travail avec l’IA</w:t>
      </w:r>
    </w:p>
    <w:p>
      <w:pPr>
        <w:spacing w:after="120"/>
      </w:pPr>
      <w:r>
        <w:rPr>
          <w:i w:val="0"/>
        </w:rPr>
        <w:t>Le module a été intégré avec une boucle courte : une demande précise avec ses contraintes, une proposition de l’IA, une exécution réelle (entraînement, test, appel du service), puis une correction si le résultat ne convient pas. Aucun chiffre n’est gardé sans avoir été mesuré sur les données de test.</w:t>
      </w:r>
    </w:p>
    <w:p>
      <w:pPr>
        <w:pStyle w:val="Heading1"/>
      </w:pPr>
      <w:r>
        <w:t>4. Journal des prompts et des interactions</w:t>
      </w:r>
    </w:p>
    <w:p>
      <w:pPr>
        <w:spacing w:after="120"/>
      </w:pPr>
      <w:r>
        <w:rPr>
          <w:b/>
          <w:i w:val="0"/>
        </w:rPr>
        <w:t>4.1 Interactions avec Claude Code pendant l’intégration du module (session de l’équipe)</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trPr>
        <w:tc>
          <w:tcPr>
            <w:tcW w:type="dxa" w:w="1361"/>
            <w:shd w:val="clear" w:color="auto" w:fill="3D4F1C"/>
          </w:tcPr>
          <w:p>
            <w:pPr>
              <w:spacing w:after="0"/>
            </w:pPr>
            <w:r/>
            <w:r>
              <w:rPr>
                <w:b/>
                <w:i w:val="0"/>
                <w:color w:val="FFFFFF"/>
                <w:sz w:val="20"/>
              </w:rPr>
              <w:t>Date</w:t>
            </w:r>
          </w:p>
        </w:tc>
        <w:tc>
          <w:tcPr>
            <w:tcW w:type="dxa" w:w="1191"/>
            <w:shd w:val="clear" w:color="auto" w:fill="3D4F1C"/>
          </w:tcPr>
          <w:p>
            <w:pPr>
              <w:spacing w:after="0"/>
            </w:pPr>
            <w:r/>
            <w:r>
              <w:rPr>
                <w:b/>
                <w:i w:val="0"/>
                <w:color w:val="FFFFFF"/>
                <w:sz w:val="20"/>
              </w:rPr>
              <w:t>Objectif</w:t>
            </w:r>
          </w:p>
        </w:tc>
        <w:tc>
          <w:tcPr>
            <w:tcW w:type="dxa" w:w="2381"/>
            <w:shd w:val="clear" w:color="auto" w:fill="3D4F1C"/>
          </w:tcPr>
          <w:p>
            <w:pPr>
              <w:spacing w:after="0"/>
            </w:pPr>
            <w:r/>
            <w:r>
              <w:rPr>
                <w:b/>
                <w:i w:val="0"/>
                <w:color w:val="FFFFFF"/>
                <w:sz w:val="20"/>
              </w:rPr>
              <w:t>Prompt ou situation</w:t>
            </w:r>
          </w:p>
        </w:tc>
        <w:tc>
          <w:tcPr>
            <w:tcW w:type="dxa" w:w="2438"/>
            <w:shd w:val="clear" w:color="auto" w:fill="3D4F1C"/>
          </w:tcPr>
          <w:p>
            <w:pPr>
              <w:spacing w:after="0"/>
            </w:pPr>
            <w:r/>
            <w:r>
              <w:rPr>
                <w:b/>
                <w:i w:val="0"/>
                <w:color w:val="FFFFFF"/>
                <w:sz w:val="20"/>
              </w:rPr>
              <w:t>Réponse / action de l’IA</w:t>
            </w:r>
          </w:p>
        </w:tc>
        <w:tc>
          <w:tcPr>
            <w:tcW w:type="dxa" w:w="2041"/>
            <w:shd w:val="clear" w:color="auto" w:fill="3D4F1C"/>
          </w:tcPr>
          <w:p>
            <w:pPr>
              <w:spacing w:after="0"/>
            </w:pPr>
            <w:r/>
            <w:r>
              <w:rPr>
                <w:b/>
                <w:i w:val="0"/>
                <w:color w:val="FFFFFF"/>
                <w:sz w:val="20"/>
              </w:rPr>
              <w:t>Vérification</w:t>
            </w:r>
          </w:p>
        </w:tc>
      </w:tr>
      <w:tr>
        <w:tc>
          <w:tcPr>
            <w:tcW w:type="dxa" w:w="1361"/>
          </w:tcPr>
          <w:p>
            <w:pPr>
              <w:spacing w:after="0"/>
            </w:pPr>
            <w:r/>
            <w:r>
              <w:rPr>
                <w:b w:val="0"/>
                <w:i w:val="0"/>
                <w:sz w:val="20"/>
              </w:rPr>
              <w:t>17/10/2026</w:t>
            </w:r>
          </w:p>
        </w:tc>
        <w:tc>
          <w:tcPr>
            <w:tcW w:type="dxa" w:w="1191"/>
          </w:tcPr>
          <w:p>
            <w:pPr>
              <w:spacing w:after="0"/>
            </w:pPr>
            <w:r/>
            <w:r>
              <w:rPr>
                <w:b w:val="0"/>
                <w:i w:val="0"/>
                <w:sz w:val="20"/>
              </w:rPr>
              <w:t>Réaliser M4</w:t>
            </w:r>
          </w:p>
        </w:tc>
        <w:tc>
          <w:tcPr>
            <w:tcW w:type="dxa" w:w="2381"/>
          </w:tcPr>
          <w:p>
            <w:pPr>
              <w:spacing w:after="0"/>
            </w:pPr>
            <w:r/>
            <w:r>
              <w:rPr>
                <w:b w:val="0"/>
                <w:i w:val="0"/>
                <w:sz w:val="20"/>
              </w:rPr>
              <w:t>« tu peux le travailler M2 et M4, je veux un travail correct »</w:t>
            </w:r>
          </w:p>
        </w:tc>
        <w:tc>
          <w:tcPr>
            <w:tcW w:type="dxa" w:w="2438"/>
          </w:tcPr>
          <w:p>
            <w:pPr>
              <w:spacing w:after="0"/>
            </w:pPr>
            <w:r/>
            <w:r>
              <w:rPr>
                <w:b w:val="0"/>
                <w:i w:val="0"/>
                <w:sz w:val="20"/>
              </w:rPr>
              <w:t>Comparaison naïf, LSTM et SARIMA sur les prix FMI convertis en dinars</w:t>
            </w:r>
          </w:p>
        </w:tc>
        <w:tc>
          <w:tcPr>
            <w:tcW w:type="dxa" w:w="2041"/>
          </w:tcPr>
          <w:p>
            <w:pPr>
              <w:spacing w:after="0"/>
            </w:pPr>
            <w:r/>
            <w:r>
              <w:rPr>
                <w:b w:val="0"/>
                <w:i w:val="0"/>
                <w:sz w:val="20"/>
              </w:rPr>
              <w:t>MAPE sur le test 2021 → 2026 : SARIMA 11,33 %</w:t>
            </w:r>
          </w:p>
        </w:tc>
      </w:tr>
      <w:tr>
        <w:tc>
          <w:tcPr>
            <w:tcW w:type="dxa" w:w="1361"/>
            <w:shd w:val="clear" w:color="auto" w:fill="F1F3E8"/>
          </w:tcPr>
          <w:p>
            <w:pPr>
              <w:spacing w:after="0"/>
            </w:pPr>
            <w:r/>
            <w:r>
              <w:rPr>
                <w:b w:val="0"/>
                <w:i w:val="0"/>
                <w:sz w:val="20"/>
              </w:rPr>
              <w:t>17/10/2026</w:t>
            </w:r>
          </w:p>
        </w:tc>
        <w:tc>
          <w:tcPr>
            <w:tcW w:type="dxa" w:w="1191"/>
            <w:shd w:val="clear" w:color="auto" w:fill="F1F3E8"/>
          </w:tcPr>
          <w:p>
            <w:pPr>
              <w:spacing w:after="0"/>
            </w:pPr>
            <w:r/>
            <w:r>
              <w:rPr>
                <w:b w:val="0"/>
                <w:i w:val="0"/>
                <w:sz w:val="20"/>
              </w:rPr>
              <w:t>Données réelles</w:t>
            </w:r>
          </w:p>
        </w:tc>
        <w:tc>
          <w:tcPr>
            <w:tcW w:type="dxa" w:w="2381"/>
            <w:shd w:val="clear" w:color="auto" w:fill="F1F3E8"/>
          </w:tcPr>
          <w:p>
            <w:pPr>
              <w:spacing w:after="0"/>
            </w:pPr>
            <w:r/>
            <w:r>
              <w:rPr>
                <w:b w:val="0"/>
                <w:i w:val="0"/>
                <w:sz w:val="20"/>
              </w:rPr>
              <w:t>« je veux avec API non mock des valeurs réelles »</w:t>
            </w:r>
          </w:p>
        </w:tc>
        <w:tc>
          <w:tcPr>
            <w:tcW w:type="dxa" w:w="2438"/>
            <w:shd w:val="clear" w:color="auto" w:fill="F1F3E8"/>
          </w:tcPr>
          <w:p>
            <w:pPr>
              <w:spacing w:after="0"/>
            </w:pPr>
            <w:r/>
            <w:r>
              <w:rPr>
                <w:b w:val="0"/>
                <w:i w:val="0"/>
                <w:sz w:val="20"/>
              </w:rPr>
              <w:t>SARIMA réajusté au démarrage sur la série réelle, champ source affiché</w:t>
            </w:r>
          </w:p>
        </w:tc>
        <w:tc>
          <w:tcPr>
            <w:tcW w:type="dxa" w:w="2041"/>
            <w:shd w:val="clear" w:color="auto" w:fill="F1F3E8"/>
          </w:tcPr>
          <w:p>
            <w:pPr>
              <w:spacing w:after="0"/>
            </w:pPr>
            <w:r/>
            <w:r>
              <w:rPr>
                <w:b w:val="0"/>
                <w:i w:val="0"/>
                <w:sz w:val="20"/>
              </w:rPr>
              <w:t>Prévision et intervalle visibles dans l’écran Prix</w:t>
            </w:r>
          </w:p>
        </w:tc>
      </w:tr>
      <w:tr>
        <w:tc>
          <w:tcPr>
            <w:tcW w:type="dxa" w:w="1361"/>
          </w:tcPr>
          <w:p>
            <w:pPr>
              <w:spacing w:after="0"/>
            </w:pPr>
            <w:r/>
            <w:r>
              <w:rPr>
                <w:b w:val="0"/>
                <w:i w:val="0"/>
                <w:sz w:val="20"/>
              </w:rPr>
              <w:t>17/10/2026</w:t>
            </w:r>
          </w:p>
        </w:tc>
        <w:tc>
          <w:tcPr>
            <w:tcW w:type="dxa" w:w="1191"/>
          </w:tcPr>
          <w:p>
            <w:pPr>
              <w:spacing w:after="0"/>
            </w:pPr>
            <w:r/>
            <w:r>
              <w:rPr>
                <w:b w:val="0"/>
                <w:i w:val="0"/>
                <w:sz w:val="20"/>
              </w:rPr>
              <w:t>Bug métier</w:t>
            </w:r>
          </w:p>
        </w:tc>
        <w:tc>
          <w:tcPr>
            <w:tcW w:type="dxa" w:w="2381"/>
          </w:tcPr>
          <w:p>
            <w:pPr>
              <w:spacing w:after="0"/>
            </w:pPr>
            <w:r/>
            <w:r>
              <w:rPr>
                <w:b w:val="0"/>
                <w:i w:val="0"/>
                <w:sz w:val="20"/>
              </w:rPr>
              <w:t>Le conseil « stocker » perdait de l’argent sur le test</w:t>
            </w:r>
          </w:p>
        </w:tc>
        <w:tc>
          <w:tcPr>
            <w:tcW w:type="dxa" w:w="2438"/>
          </w:tcPr>
          <w:p>
            <w:pPr>
              <w:spacing w:after="0"/>
            </w:pPr>
            <w:r/>
            <w:r>
              <w:rPr>
                <w:b w:val="0"/>
                <w:i w:val="0"/>
                <w:sz w:val="20"/>
              </w:rPr>
              <w:t>Marge de prudence de 4 % choisie sur la validation 2017 → 2020</w:t>
            </w:r>
          </w:p>
        </w:tc>
        <w:tc>
          <w:tcPr>
            <w:tcW w:type="dxa" w:w="2041"/>
          </w:tcPr>
          <w:p>
            <w:pPr>
              <w:spacing w:after="0"/>
            </w:pPr>
            <w:r/>
            <w:r>
              <w:rPr>
                <w:b w:val="0"/>
                <w:i w:val="0"/>
                <w:sz w:val="20"/>
              </w:rPr>
              <w:t>Gain moyen −0,47 → +0,10 TND/kg ; 9 tests</w:t>
            </w:r>
          </w:p>
        </w:tc>
      </w:tr>
    </w:tbl>
    <w:p>
      <w:pPr>
        <w:spacing w:after="40"/>
      </w:pPr>
    </w:p>
    <w:p>
      <w:pPr>
        <w:spacing w:after="120"/>
      </w:pPr>
      <w:r>
        <w:rPr>
          <w:b/>
          <w:i w:val="0"/>
        </w:rPr>
        <w:t>4.2 Mes propres prompts</w:t>
      </w:r>
    </w:p>
    <w:p>
      <w:pPr>
        <w:spacing w:after="120"/>
      </w:pPr>
      <w:r>
        <w:rPr>
          <w:i/>
          <w:color w:val="8A8E7D"/>
        </w:rPr>
        <w:t>À compléter — ajouter vos échanges personnels avec un LLM (Claude, Copilot, ChatGPT…) : le prompt exact, la réponse et ce que vous avez gardé ou corrigé.</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trPr>
        <w:tc>
          <w:tcPr>
            <w:tcW w:type="dxa" w:w="1361"/>
            <w:shd w:val="clear" w:color="auto" w:fill="3D4F1C"/>
          </w:tcPr>
          <w:p>
            <w:pPr>
              <w:spacing w:after="0"/>
            </w:pPr>
            <w:r/>
            <w:r>
              <w:rPr>
                <w:b/>
                <w:i w:val="0"/>
                <w:color w:val="FFFFFF"/>
                <w:sz w:val="20"/>
              </w:rPr>
              <w:t>Date</w:t>
            </w:r>
          </w:p>
        </w:tc>
        <w:tc>
          <w:tcPr>
            <w:tcW w:type="dxa" w:w="1191"/>
            <w:shd w:val="clear" w:color="auto" w:fill="3D4F1C"/>
          </w:tcPr>
          <w:p>
            <w:pPr>
              <w:spacing w:after="0"/>
            </w:pPr>
            <w:r/>
            <w:r>
              <w:rPr>
                <w:b/>
                <w:i w:val="0"/>
                <w:color w:val="FFFFFF"/>
                <w:sz w:val="20"/>
              </w:rPr>
              <w:t>Objectif</w:t>
            </w:r>
          </w:p>
        </w:tc>
        <w:tc>
          <w:tcPr>
            <w:tcW w:type="dxa" w:w="2381"/>
            <w:shd w:val="clear" w:color="auto" w:fill="3D4F1C"/>
          </w:tcPr>
          <w:p>
            <w:pPr>
              <w:spacing w:after="0"/>
            </w:pPr>
            <w:r/>
            <w:r>
              <w:rPr>
                <w:b/>
                <w:i w:val="0"/>
                <w:color w:val="FFFFFF"/>
                <w:sz w:val="20"/>
              </w:rPr>
              <w:t>Prompt</w:t>
            </w:r>
          </w:p>
        </w:tc>
        <w:tc>
          <w:tcPr>
            <w:tcW w:type="dxa" w:w="2438"/>
            <w:shd w:val="clear" w:color="auto" w:fill="3D4F1C"/>
          </w:tcPr>
          <w:p>
            <w:pPr>
              <w:spacing w:after="0"/>
            </w:pPr>
            <w:r/>
            <w:r>
              <w:rPr>
                <w:b/>
                <w:i w:val="0"/>
                <w:color w:val="FFFFFF"/>
                <w:sz w:val="20"/>
              </w:rPr>
              <w:t>Réponse / action de l’IA</w:t>
            </w:r>
          </w:p>
        </w:tc>
        <w:tc>
          <w:tcPr>
            <w:tcW w:type="dxa" w:w="2041"/>
            <w:shd w:val="clear" w:color="auto" w:fill="3D4F1C"/>
          </w:tcPr>
          <w:p>
            <w:pPr>
              <w:spacing w:after="0"/>
            </w:pPr>
            <w:r/>
            <w:r>
              <w:rPr>
                <w:b/>
                <w:i w:val="0"/>
                <w:color w:val="FFFFFF"/>
                <w:sz w:val="20"/>
              </w:rPr>
              <w:t>Vérification</w:t>
            </w:r>
          </w:p>
        </w:tc>
      </w:tr>
      <w:tr>
        <w:tc>
          <w:tcPr>
            <w:tcW w:type="dxa" w:w="1361"/>
          </w:tcPr>
          <w:p>
            <w:pPr>
              <w:spacing w:after="0"/>
            </w:pPr>
            <w:r/>
            <w:r>
              <w:rPr>
                <w:b w:val="0"/>
                <w:i/>
                <w:color w:val="8A8E7D"/>
                <w:sz w:val="20"/>
              </w:rPr>
              <w:t>…</w:t>
            </w:r>
          </w:p>
        </w:tc>
        <w:tc>
          <w:tcPr>
            <w:tcW w:type="dxa" w:w="1191"/>
          </w:tcPr>
          <w:p>
            <w:pPr>
              <w:spacing w:after="0"/>
            </w:pPr>
            <w:r/>
            <w:r>
              <w:rPr>
                <w:b w:val="0"/>
                <w:i/>
                <w:color w:val="8A8E7D"/>
                <w:sz w:val="20"/>
              </w:rPr>
              <w:t>…</w:t>
            </w:r>
          </w:p>
        </w:tc>
        <w:tc>
          <w:tcPr>
            <w:tcW w:type="dxa" w:w="2381"/>
          </w:tcPr>
          <w:p>
            <w:pPr>
              <w:spacing w:after="0"/>
            </w:pPr>
            <w:r/>
            <w:r>
              <w:rPr>
                <w:b w:val="0"/>
                <w:i/>
                <w:color w:val="8A8E7D"/>
                <w:sz w:val="20"/>
              </w:rPr>
              <w:t>…</w:t>
            </w:r>
          </w:p>
        </w:tc>
        <w:tc>
          <w:tcPr>
            <w:tcW w:type="dxa" w:w="2438"/>
          </w:tcPr>
          <w:p>
            <w:pPr>
              <w:spacing w:after="0"/>
            </w:pPr>
            <w:r/>
            <w:r>
              <w:rPr>
                <w:b w:val="0"/>
                <w:i/>
                <w:color w:val="8A8E7D"/>
                <w:sz w:val="20"/>
              </w:rPr>
              <w:t>…</w:t>
            </w:r>
          </w:p>
        </w:tc>
        <w:tc>
          <w:tcPr>
            <w:tcW w:type="dxa" w:w="2041"/>
          </w:tcPr>
          <w:p>
            <w:pPr>
              <w:spacing w:after="0"/>
            </w:pPr>
            <w:r/>
            <w:r>
              <w:rPr>
                <w:b w:val="0"/>
                <w:i/>
                <w:color w:val="8A8E7D"/>
                <w:sz w:val="20"/>
              </w:rPr>
              <w:t>…</w:t>
            </w:r>
          </w:p>
        </w:tc>
      </w:tr>
      <w:tr>
        <w:tc>
          <w:tcPr>
            <w:tcW w:type="dxa" w:w="1361"/>
          </w:tcPr>
          <w:p>
            <w:pPr>
              <w:spacing w:after="0"/>
            </w:pPr>
            <w:r/>
            <w:r>
              <w:rPr>
                <w:b w:val="0"/>
                <w:i/>
                <w:color w:val="8A8E7D"/>
                <w:sz w:val="20"/>
              </w:rPr>
              <w:t>…</w:t>
            </w:r>
          </w:p>
        </w:tc>
        <w:tc>
          <w:tcPr>
            <w:tcW w:type="dxa" w:w="1191"/>
          </w:tcPr>
          <w:p>
            <w:pPr>
              <w:spacing w:after="0"/>
            </w:pPr>
            <w:r/>
            <w:r>
              <w:rPr>
                <w:b w:val="0"/>
                <w:i/>
                <w:color w:val="8A8E7D"/>
                <w:sz w:val="20"/>
              </w:rPr>
              <w:t>…</w:t>
            </w:r>
          </w:p>
        </w:tc>
        <w:tc>
          <w:tcPr>
            <w:tcW w:type="dxa" w:w="2381"/>
          </w:tcPr>
          <w:p>
            <w:pPr>
              <w:spacing w:after="0"/>
            </w:pPr>
            <w:r/>
            <w:r>
              <w:rPr>
                <w:b w:val="0"/>
                <w:i/>
                <w:color w:val="8A8E7D"/>
                <w:sz w:val="20"/>
              </w:rPr>
              <w:t>…</w:t>
            </w:r>
          </w:p>
        </w:tc>
        <w:tc>
          <w:tcPr>
            <w:tcW w:type="dxa" w:w="2438"/>
          </w:tcPr>
          <w:p>
            <w:pPr>
              <w:spacing w:after="0"/>
            </w:pPr>
            <w:r/>
            <w:r>
              <w:rPr>
                <w:b w:val="0"/>
                <w:i/>
                <w:color w:val="8A8E7D"/>
                <w:sz w:val="20"/>
              </w:rPr>
              <w:t>…</w:t>
            </w:r>
          </w:p>
        </w:tc>
        <w:tc>
          <w:tcPr>
            <w:tcW w:type="dxa" w:w="2041"/>
          </w:tcPr>
          <w:p>
            <w:pPr>
              <w:spacing w:after="0"/>
            </w:pPr>
            <w:r/>
            <w:r>
              <w:rPr>
                <w:b w:val="0"/>
                <w:i/>
                <w:color w:val="8A8E7D"/>
                <w:sz w:val="20"/>
              </w:rPr>
              <w:t>…</w:t>
            </w:r>
          </w:p>
        </w:tc>
      </w:tr>
      <w:tr>
        <w:tc>
          <w:tcPr>
            <w:tcW w:type="dxa" w:w="1361"/>
          </w:tcPr>
          <w:p>
            <w:pPr>
              <w:spacing w:after="0"/>
            </w:pPr>
            <w:r/>
            <w:r>
              <w:rPr>
                <w:b w:val="0"/>
                <w:i/>
                <w:color w:val="8A8E7D"/>
                <w:sz w:val="20"/>
              </w:rPr>
              <w:t>…</w:t>
            </w:r>
          </w:p>
        </w:tc>
        <w:tc>
          <w:tcPr>
            <w:tcW w:type="dxa" w:w="1191"/>
          </w:tcPr>
          <w:p>
            <w:pPr>
              <w:spacing w:after="0"/>
            </w:pPr>
            <w:r/>
            <w:r>
              <w:rPr>
                <w:b w:val="0"/>
                <w:i/>
                <w:color w:val="8A8E7D"/>
                <w:sz w:val="20"/>
              </w:rPr>
              <w:t>…</w:t>
            </w:r>
          </w:p>
        </w:tc>
        <w:tc>
          <w:tcPr>
            <w:tcW w:type="dxa" w:w="2381"/>
          </w:tcPr>
          <w:p>
            <w:pPr>
              <w:spacing w:after="0"/>
            </w:pPr>
            <w:r/>
            <w:r>
              <w:rPr>
                <w:b w:val="0"/>
                <w:i/>
                <w:color w:val="8A8E7D"/>
                <w:sz w:val="20"/>
              </w:rPr>
              <w:t>…</w:t>
            </w:r>
          </w:p>
        </w:tc>
        <w:tc>
          <w:tcPr>
            <w:tcW w:type="dxa" w:w="2438"/>
          </w:tcPr>
          <w:p>
            <w:pPr>
              <w:spacing w:after="0"/>
            </w:pPr>
            <w:r/>
            <w:r>
              <w:rPr>
                <w:b w:val="0"/>
                <w:i/>
                <w:color w:val="8A8E7D"/>
                <w:sz w:val="20"/>
              </w:rPr>
              <w:t>…</w:t>
            </w:r>
          </w:p>
        </w:tc>
        <w:tc>
          <w:tcPr>
            <w:tcW w:type="dxa" w:w="2041"/>
          </w:tcPr>
          <w:p>
            <w:pPr>
              <w:spacing w:after="0"/>
            </w:pPr>
            <w:r/>
            <w:r>
              <w:rPr>
                <w:b w:val="0"/>
                <w:i/>
                <w:color w:val="8A8E7D"/>
                <w:sz w:val="20"/>
              </w:rPr>
              <w:t>…</w:t>
            </w:r>
          </w:p>
        </w:tc>
      </w:tr>
    </w:tbl>
    <w:p>
      <w:pPr>
        <w:spacing w:after="40"/>
      </w:pPr>
    </w:p>
    <w:p>
      <w:pPr>
        <w:pStyle w:val="Heading1"/>
      </w:pPr>
      <w:r>
        <w:t>5. Justification du modèle d’IA choisi</w:t>
      </w:r>
    </w:p>
    <w:tbl>
      <w:tblPr>
        <w:tblStyle w:val="TableGrid"/>
        <w:tblW w:type="auto" w:w="0"/>
        <w:jc w:val="center"/>
        <w:tblLayout w:type="fixed"/>
        <w:tblLook w:firstColumn="1" w:firstRow="1" w:lastColumn="0" w:lastRow="0" w:noHBand="0" w:noVBand="1" w:val="04A0"/>
      </w:tblPr>
      <w:tblGrid>
        <w:gridCol w:w="4706"/>
        <w:gridCol w:w="4706"/>
      </w:tblGrid>
      <w:tr>
        <w:trPr>
          <w:tblHeader w:val="true"/>
        </w:trPr>
        <w:tc>
          <w:tcPr>
            <w:tcW w:type="dxa" w:w="4876"/>
            <w:shd w:val="clear" w:color="auto" w:fill="3D4F1C"/>
          </w:tcPr>
          <w:p>
            <w:pPr>
              <w:spacing w:after="0"/>
            </w:pPr>
            <w:r/>
            <w:r>
              <w:rPr>
                <w:b/>
                <w:i w:val="0"/>
                <w:color w:val="FFFFFF"/>
                <w:sz w:val="20"/>
              </w:rPr>
              <w:t>Modèle comparé</w:t>
            </w:r>
          </w:p>
        </w:tc>
        <w:tc>
          <w:tcPr>
            <w:tcW w:type="dxa" w:w="4535"/>
            <w:shd w:val="clear" w:color="auto" w:fill="3D4F1C"/>
          </w:tcPr>
          <w:p>
            <w:pPr>
              <w:spacing w:after="0"/>
            </w:pPr>
            <w:r/>
            <w:r>
              <w:rPr>
                <w:b/>
                <w:i w:val="0"/>
                <w:color w:val="FFFFFF"/>
                <w:sz w:val="20"/>
              </w:rPr>
              <w:t>Résultat sur les données de test</w:t>
            </w:r>
          </w:p>
        </w:tc>
      </w:tr>
      <w:tr>
        <w:tc>
          <w:tcPr>
            <w:tcW w:type="dxa" w:w="4876"/>
          </w:tcPr>
          <w:p>
            <w:pPr>
              <w:spacing w:after="0"/>
            </w:pPr>
            <w:r/>
            <w:r>
              <w:rPr>
                <w:b w:val="0"/>
                <w:i w:val="0"/>
                <w:sz w:val="20"/>
              </w:rPr>
              <w:t>Prévision naïve (référence)</w:t>
            </w:r>
          </w:p>
        </w:tc>
        <w:tc>
          <w:tcPr>
            <w:tcW w:type="dxa" w:w="4535"/>
          </w:tcPr>
          <w:p>
            <w:pPr>
              <w:spacing w:after="0"/>
            </w:pPr>
            <w:r/>
            <w:r>
              <w:rPr>
                <w:b w:val="0"/>
                <w:i w:val="0"/>
                <w:sz w:val="20"/>
              </w:rPr>
              <w:t>MAPE 11,73 %</w:t>
            </w:r>
          </w:p>
        </w:tc>
      </w:tr>
      <w:tr>
        <w:tc>
          <w:tcPr>
            <w:tcW w:type="dxa" w:w="4876"/>
            <w:shd w:val="clear" w:color="auto" w:fill="F1F3E8"/>
          </w:tcPr>
          <w:p>
            <w:pPr>
              <w:spacing w:after="0"/>
            </w:pPr>
            <w:r/>
            <w:r>
              <w:rPr>
                <w:b w:val="0"/>
                <w:i w:val="0"/>
                <w:sz w:val="20"/>
              </w:rPr>
              <w:t>LSTM</w:t>
            </w:r>
          </w:p>
        </w:tc>
        <w:tc>
          <w:tcPr>
            <w:tcW w:type="dxa" w:w="4535"/>
            <w:shd w:val="clear" w:color="auto" w:fill="F1F3E8"/>
          </w:tcPr>
          <w:p>
            <w:pPr>
              <w:spacing w:after="0"/>
            </w:pPr>
            <w:r/>
            <w:r>
              <w:rPr>
                <w:b w:val="0"/>
                <w:i w:val="0"/>
                <w:sz w:val="20"/>
              </w:rPr>
              <w:t>MAPE 11,77 %</w:t>
            </w:r>
          </w:p>
        </w:tc>
      </w:tr>
      <w:tr>
        <w:tc>
          <w:tcPr>
            <w:tcW w:type="dxa" w:w="4876"/>
          </w:tcPr>
          <w:p>
            <w:pPr>
              <w:spacing w:after="0"/>
            </w:pPr>
            <w:r/>
            <w:r>
              <w:rPr>
                <w:b w:val="0"/>
                <w:i w:val="0"/>
                <w:sz w:val="20"/>
              </w:rPr>
              <w:t>SARIMA (0,1,1)(1,0,1)₁₂ (modèle retenu)</w:t>
            </w:r>
          </w:p>
        </w:tc>
        <w:tc>
          <w:tcPr>
            <w:tcW w:type="dxa" w:w="4535"/>
          </w:tcPr>
          <w:p>
            <w:pPr>
              <w:spacing w:after="0"/>
            </w:pPr>
            <w:r/>
            <w:r>
              <w:rPr>
                <w:b w:val="0"/>
                <w:i w:val="0"/>
                <w:sz w:val="20"/>
              </w:rPr>
              <w:t>MAPE 11,33 % · conseil +0,10 TND/kg</w:t>
            </w:r>
          </w:p>
        </w:tc>
      </w:tr>
    </w:tbl>
    <w:p>
      <w:pPr>
        <w:spacing w:after="40"/>
      </w:pPr>
    </w:p>
    <w:p>
      <w:pPr>
        <w:spacing w:after="120"/>
      </w:pPr>
      <w:r>
        <w:rPr>
          <w:i w:val="0"/>
        </w:rPr>
        <w:t>SARIMA est le seul modèle à battre la prévision naïve, fournit un intervalle de confiance, et la marge de prudence de 4 % choisie sur la validation rend le conseil « stocker » rentable (9 conseils sur 10 gagnants).</w:t>
      </w:r>
    </w:p>
    <w:p>
      <w:pPr>
        <w:pStyle w:val="Heading1"/>
      </w:pPr>
      <w:r>
        <w:t>6. Gains de productivité</w:t>
      </w:r>
    </w:p>
    <w:tbl>
      <w:tblPr>
        <w:tblStyle w:val="TableGrid"/>
        <w:tblW w:type="auto" w:w="0"/>
        <w:jc w:val="center"/>
        <w:tblLayout w:type="fixed"/>
        <w:tblLook w:firstColumn="1" w:firstRow="1" w:lastColumn="0" w:lastRow="0" w:noHBand="0" w:noVBand="1" w:val="04A0"/>
      </w:tblPr>
      <w:tblGrid>
        <w:gridCol w:w="3137"/>
        <w:gridCol w:w="3137"/>
        <w:gridCol w:w="3137"/>
      </w:tblGrid>
      <w:tr>
        <w:trPr>
          <w:tblHeader w:val="true"/>
        </w:trPr>
        <w:tc>
          <w:tcPr>
            <w:tcW w:type="dxa" w:w="2835"/>
            <w:shd w:val="clear" w:color="auto" w:fill="3D4F1C"/>
          </w:tcPr>
          <w:p>
            <w:pPr>
              <w:spacing w:after="0"/>
            </w:pPr>
            <w:r/>
            <w:r>
              <w:rPr>
                <w:b/>
                <w:i w:val="0"/>
                <w:color w:val="FFFFFF"/>
                <w:sz w:val="20"/>
              </w:rPr>
              <w:t>Tâche</w:t>
            </w:r>
          </w:p>
        </w:tc>
        <w:tc>
          <w:tcPr>
            <w:tcW w:type="dxa" w:w="3628"/>
            <w:shd w:val="clear" w:color="auto" w:fill="3D4F1C"/>
          </w:tcPr>
          <w:p>
            <w:pPr>
              <w:spacing w:after="0"/>
            </w:pPr>
            <w:r/>
            <w:r>
              <w:rPr>
                <w:b/>
                <w:i w:val="0"/>
                <w:color w:val="FFFFFF"/>
                <w:sz w:val="20"/>
              </w:rPr>
              <w:t>Apport de l’IA</w:t>
            </w:r>
          </w:p>
        </w:tc>
        <w:tc>
          <w:tcPr>
            <w:tcW w:type="dxa" w:w="2948"/>
            <w:shd w:val="clear" w:color="auto" w:fill="3D4F1C"/>
          </w:tcPr>
          <w:p>
            <w:pPr>
              <w:spacing w:after="0"/>
            </w:pPr>
            <w:r/>
            <w:r>
              <w:rPr>
                <w:b/>
                <w:i w:val="0"/>
                <w:color w:val="FFFFFF"/>
                <w:sz w:val="20"/>
              </w:rPr>
              <w:t>Limite constatée</w:t>
            </w:r>
          </w:p>
        </w:tc>
      </w:tr>
      <w:tr>
        <w:tc>
          <w:tcPr>
            <w:tcW w:type="dxa" w:w="2835"/>
          </w:tcPr>
          <w:p>
            <w:pPr>
              <w:spacing w:after="0"/>
            </w:pPr>
            <w:r/>
            <w:r>
              <w:rPr>
                <w:b w:val="0"/>
                <w:i w:val="0"/>
                <w:sz w:val="20"/>
              </w:rPr>
              <w:t>Modélisation</w:t>
            </w:r>
          </w:p>
        </w:tc>
        <w:tc>
          <w:tcPr>
            <w:tcW w:type="dxa" w:w="3628"/>
          </w:tcPr>
          <w:p>
            <w:pPr>
              <w:spacing w:after="0"/>
            </w:pPr>
            <w:r/>
            <w:r>
              <w:rPr>
                <w:b w:val="0"/>
                <w:i w:val="0"/>
                <w:sz w:val="20"/>
              </w:rPr>
              <w:t>Trois modèles comparés sur les mêmes horizons</w:t>
            </w:r>
          </w:p>
        </w:tc>
        <w:tc>
          <w:tcPr>
            <w:tcW w:type="dxa" w:w="2948"/>
          </w:tcPr>
          <w:p>
            <w:pPr>
              <w:spacing w:after="0"/>
            </w:pPr>
            <w:r/>
            <w:r>
              <w:rPr>
                <w:b w:val="0"/>
                <w:i w:val="0"/>
                <w:sz w:val="20"/>
              </w:rPr>
              <w:t>Choix de l’ordre SARIMA à vérifier</w:t>
            </w:r>
          </w:p>
        </w:tc>
      </w:tr>
      <w:tr>
        <w:tc>
          <w:tcPr>
            <w:tcW w:type="dxa" w:w="2835"/>
            <w:shd w:val="clear" w:color="auto" w:fill="F1F3E8"/>
          </w:tcPr>
          <w:p>
            <w:pPr>
              <w:spacing w:after="0"/>
            </w:pPr>
            <w:r/>
            <w:r>
              <w:rPr>
                <w:b w:val="0"/>
                <w:i w:val="0"/>
                <w:sz w:val="20"/>
              </w:rPr>
              <w:t>Stratégie de vente</w:t>
            </w:r>
          </w:p>
        </w:tc>
        <w:tc>
          <w:tcPr>
            <w:tcW w:type="dxa" w:w="3628"/>
            <w:shd w:val="clear" w:color="auto" w:fill="F1F3E8"/>
          </w:tcPr>
          <w:p>
            <w:pPr>
              <w:spacing w:after="0"/>
            </w:pPr>
            <w:r/>
            <w:r>
              <w:rPr>
                <w:b w:val="0"/>
                <w:i w:val="0"/>
                <w:sz w:val="20"/>
              </w:rPr>
              <w:t>Simulation des 61 décisions de test</w:t>
            </w:r>
          </w:p>
        </w:tc>
        <w:tc>
          <w:tcPr>
            <w:tcW w:type="dxa" w:w="2948"/>
            <w:shd w:val="clear" w:color="auto" w:fill="F1F3E8"/>
          </w:tcPr>
          <w:p>
            <w:pPr>
              <w:spacing w:after="0"/>
            </w:pPr>
            <w:r/>
            <w:r>
              <w:rPr>
                <w:b w:val="0"/>
                <w:i w:val="0"/>
                <w:sz w:val="20"/>
              </w:rPr>
              <w:t>La marge doit venir de la validation, pas du test</w:t>
            </w:r>
          </w:p>
        </w:tc>
      </w:tr>
      <w:tr>
        <w:tc>
          <w:tcPr>
            <w:tcW w:type="dxa" w:w="2835"/>
          </w:tcPr>
          <w:p>
            <w:pPr>
              <w:spacing w:after="0"/>
            </w:pPr>
            <w:r/>
            <w:r>
              <w:rPr>
                <w:b w:val="0"/>
                <w:i w:val="0"/>
                <w:sz w:val="20"/>
              </w:rPr>
              <w:t>Frontend</w:t>
            </w:r>
          </w:p>
        </w:tc>
        <w:tc>
          <w:tcPr>
            <w:tcW w:type="dxa" w:w="3628"/>
          </w:tcPr>
          <w:p>
            <w:pPr>
              <w:spacing w:after="0"/>
            </w:pPr>
            <w:r/>
            <w:r>
              <w:rPr>
                <w:b w:val="0"/>
                <w:i w:val="0"/>
                <w:sz w:val="20"/>
              </w:rPr>
              <w:t>Graphique de prévision et page Prix</w:t>
            </w:r>
          </w:p>
        </w:tc>
        <w:tc>
          <w:tcPr>
            <w:tcW w:type="dxa" w:w="2948"/>
          </w:tcPr>
          <w:p>
            <w:pPr>
              <w:spacing w:after="0"/>
            </w:pPr>
            <w:r/>
            <w:r>
              <w:rPr>
                <w:b w:val="0"/>
                <w:i w:val="0"/>
                <w:sz w:val="20"/>
              </w:rPr>
              <w:t>Contrôle visuel nécessaire</w:t>
            </w:r>
          </w:p>
        </w:tc>
      </w:tr>
    </w:tbl>
    <w:p>
      <w:pPr>
        <w:spacing w:after="40"/>
      </w:pPr>
    </w:p>
    <w:p>
      <w:pPr>
        <w:pStyle w:val="Heading1"/>
      </w:pPr>
      <w:r>
        <w:t>7. Limites et bonnes pratiques retenues</w:t>
      </w:r>
    </w:p>
    <w:p>
      <w:pPr>
        <w:pStyle w:val="ListBullet"/>
      </w:pPr>
      <w:r>
        <w:t>Une bonne métrique de prévision ne suffit pas : il faut aussi évaluer la décision qui en découle.</w:t>
      </w:r>
    </w:p>
    <w:p>
      <w:pPr>
        <w:pStyle w:val="ListBullet"/>
      </w:pPr>
      <w:r>
        <w:t>Régler les paramètres sur la validation, jamais sur le test.</w:t>
      </w:r>
    </w:p>
    <w:p>
      <w:pPr>
        <w:pStyle w:val="ListBullet"/>
      </w:pPr>
      <w:r>
        <w:t>Ne jamais accepter un résultat sans l’exécuter : chaque proposition a été vérifiée par un test ou une mesure.</w:t>
      </w:r>
    </w:p>
    <w:p>
      <w:pPr>
        <w:pStyle w:val="ListBullet"/>
      </w:pPr>
      <w:r>
        <w:t>Comparer systématiquement à une référence simple avant de retenir un modèle plus complexe.</w:t>
      </w:r>
    </w:p>
    <w:p>
      <w:pPr>
        <w:pStyle w:val="ListBullet"/>
      </w:pPr>
      <w:r>
        <w:t>Ne jamais partager de secret (clé d’API, mot de passe) avec l’IA ni dans une capture d’écran.</w:t>
      </w:r>
    </w:p>
    <w:p>
      <w:pPr>
        <w:pStyle w:val="Heading1"/>
      </w:pPr>
      <w:r>
        <w:t>8. Conclusion</w:t>
      </w:r>
    </w:p>
    <w:p>
      <w:pPr>
        <w:spacing w:after="120"/>
      </w:pPr>
      <w:r>
        <w:rPr>
          <w:i w:val="0"/>
        </w:rPr>
        <w:t>L’IA a aidé à comparer les modèles de prix et à détecter que le conseil brut perdait de l’argent ; la marge de prudence de 4 % rend le conseil rentable, avec une limite : le prix utilisé est le prix mondial.</w:t>
      </w:r>
    </w:p>
    <w:sectPr w:rsidR="00FC693F" w:rsidRPr="0006063C" w:rsidSect="00034616">
      <w:headerReference w:type="default" r:id="rId9"/>
      <w:footerReference w:type="default" r:id="rId10"/>
      <w:pgSz w:w="11906" w:h="16838"/>
      <w:pgMar w:top="1247"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E7D"/>
        <w:sz w:val="17"/>
      </w:rPr>
      <w:t xml:space="preserve">IA for Software Engineering · ESPRIT · 5SAE10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8A8E7D"/>
        <w:sz w:val="17"/>
      </w:rPr>
      <w:t>Zitouna AI · Documentation individuelle · Emna Dorai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D22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mbria" w:hAnsi="Cambria" w:eastAsia="Cambria"/>
      <w:b/>
      <w:bCs/>
      <w:color w:val="3D4F1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