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Med Amine Bejaoui</w:t>
      </w:r>
    </w:p>
    <w:p>
      <w:pPr>
        <w:jc w:val="center"/>
      </w:pPr>
      <w:r>
        <w:rPr>
          <w:color w:val="3D4F1C"/>
          <w:sz w:val="26"/>
        </w:rPr>
        <w:t>M3 · Prévision de la récolte</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Suivi des expériences, dépôt Git</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M3 · Prévision de la récolte de bout en bout : données, modèle, service FastAPI, intégration dans l’application et écran. Type d’IA : Régression sur données tabulaires. Rôle transversal : Suivi des expériences, dépôt Git.</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du module : code, entraînement, tests, documentation</w:t>
            </w:r>
          </w:p>
        </w:tc>
      </w:tr>
      <w:tr>
        <w:tc>
          <w:tcPr>
            <w:tcW w:type="dxa" w:w="2381"/>
            <w:shd w:val="clear" w:color="auto" w:fill="F1F3E8"/>
          </w:tcPr>
          <w:p>
            <w:pPr>
              <w:spacing w:after="0"/>
            </w:pPr>
            <w:r/>
            <w:r>
              <w:rPr>
                <w:b w:val="0"/>
                <w:i w:val="0"/>
                <w:sz w:val="20"/>
              </w:rPr>
              <w:t>À compléter</w:t>
            </w:r>
          </w:p>
        </w:tc>
        <w:tc>
          <w:tcPr>
            <w:tcW w:type="dxa" w:w="2835"/>
            <w:shd w:val="clear" w:color="auto" w:fill="F1F3E8"/>
          </w:tcPr>
          <w:p>
            <w:pPr>
              <w:spacing w:after="0"/>
            </w:pPr>
            <w:r/>
            <w:r>
              <w:rPr>
                <w:b w:val="0"/>
                <w:i w:val="0"/>
                <w:sz w:val="20"/>
              </w:rPr>
              <w:t>Outils utilisés personnellement (Copilot, ChatGPT…)</w:t>
            </w:r>
          </w:p>
        </w:tc>
        <w:tc>
          <w:tcPr>
            <w:tcW w:type="dxa" w:w="4195"/>
            <w:shd w:val="clear" w:color="auto" w:fill="F1F3E8"/>
          </w:tcPr>
          <w:p>
            <w:pPr>
              <w:spacing w:after="0"/>
            </w:pPr>
            <w:r/>
            <w:r>
              <w:rPr>
                <w:b w:val="0"/>
                <w:i w:val="0"/>
                <w:sz w:val="20"/>
              </w:rPr>
              <w:t>…</w:t>
            </w:r>
          </w:p>
        </w:tc>
      </w:tr>
    </w:tbl>
    <w:p>
      <w:pPr>
        <w:spacing w:after="40"/>
      </w:pPr>
    </w:p>
    <w:p>
      <w:pPr>
        <w:pStyle w:val="Heading1"/>
      </w:pPr>
      <w:r>
        <w:t>3. Méthode de travail avec l’IA</w:t>
      </w:r>
    </w:p>
    <w:p>
      <w:pPr>
        <w:spacing w:after="120"/>
      </w:pPr>
      <w:r>
        <w:rPr>
          <w:i w:val="0"/>
        </w:rPr>
        <w:t>Le module a été intégré avec une boucle courte : une demande précise avec ses contraintes, une proposition de l’IA, une exécution réelle (entraînement, test, appel du service), puis une correction si le résultat ne convient pas. Aucun chiffre n’est gardé sans avoir été mesuré sur les données de test.</w:t>
      </w:r>
    </w:p>
    <w:p>
      <w:pPr>
        <w:pStyle w:val="Heading1"/>
      </w:pPr>
      <w:r>
        <w:t>4. Journal des prompts et des interactions</w:t>
      </w:r>
    </w:p>
    <w:p>
      <w:pPr>
        <w:spacing w:after="120"/>
      </w:pPr>
      <w:r>
        <w:rPr>
          <w:b/>
          <w:i w:val="0"/>
        </w:rPr>
        <w:t>4.1 Interactions avec Claude Code pendant l’intégration du module (session de l’équipe)</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 ou situation</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10/2026</w:t>
            </w:r>
          </w:p>
        </w:tc>
        <w:tc>
          <w:tcPr>
            <w:tcW w:type="dxa" w:w="1191"/>
          </w:tcPr>
          <w:p>
            <w:pPr>
              <w:spacing w:after="0"/>
            </w:pPr>
            <w:r/>
            <w:r>
              <w:rPr>
                <w:b w:val="0"/>
                <w:i w:val="0"/>
                <w:sz w:val="20"/>
              </w:rPr>
              <w:t>Projet réel</w:t>
            </w:r>
          </w:p>
        </w:tc>
        <w:tc>
          <w:tcPr>
            <w:tcW w:type="dxa" w:w="2381"/>
          </w:tcPr>
          <w:p>
            <w:pPr>
              <w:spacing w:after="0"/>
            </w:pPr>
            <w:r/>
            <w:r>
              <w:rPr>
                <w:b w:val="0"/>
                <w:i w:val="0"/>
                <w:sz w:val="20"/>
              </w:rPr>
              <w:t>« je veux un projet réel, pas de mock »</w:t>
            </w:r>
          </w:p>
        </w:tc>
        <w:tc>
          <w:tcPr>
            <w:tcW w:type="dxa" w:w="2438"/>
          </w:tcPr>
          <w:p>
            <w:pPr>
              <w:spacing w:after="0"/>
            </w:pPr>
            <w:r/>
            <w:r>
              <w:rPr>
                <w:b w:val="0"/>
                <w:i w:val="0"/>
                <w:sz w:val="20"/>
              </w:rPr>
              <w:t>Entraînement d’un Random Forest sur FAOSTAT (1961 → 2024) croisé avec la météo ERA5</w:t>
            </w:r>
          </w:p>
        </w:tc>
        <w:tc>
          <w:tcPr>
            <w:tcW w:type="dxa" w:w="2041"/>
          </w:tcPr>
          <w:p>
            <w:pPr>
              <w:spacing w:after="0"/>
            </w:pPr>
            <w:r/>
            <w:r>
              <w:rPr>
                <w:b w:val="0"/>
                <w:i w:val="0"/>
                <w:sz w:val="20"/>
              </w:rPr>
              <w:t>Validation glissante 2005 → 2024 : MAPE 40,6 %</w:t>
            </w:r>
          </w:p>
        </w:tc>
      </w:tr>
      <w:tr>
        <w:tc>
          <w:tcPr>
            <w:tcW w:type="dxa" w:w="1361"/>
            <w:shd w:val="clear" w:color="auto" w:fill="F1F3E8"/>
          </w:tcPr>
          <w:p>
            <w:pPr>
              <w:spacing w:after="0"/>
            </w:pPr>
            <w:r/>
            <w:r>
              <w:rPr>
                <w:b w:val="0"/>
                <w:i w:val="0"/>
                <w:sz w:val="20"/>
              </w:rPr>
              <w:t>10/2026</w:t>
            </w:r>
          </w:p>
        </w:tc>
        <w:tc>
          <w:tcPr>
            <w:tcW w:type="dxa" w:w="1191"/>
            <w:shd w:val="clear" w:color="auto" w:fill="F1F3E8"/>
          </w:tcPr>
          <w:p>
            <w:pPr>
              <w:spacing w:after="0"/>
            </w:pPr>
            <w:r/>
            <w:r>
              <w:rPr>
                <w:b w:val="0"/>
                <w:i w:val="0"/>
                <w:sz w:val="20"/>
              </w:rPr>
              <w:t>Plan B</w:t>
            </w:r>
          </w:p>
        </w:tc>
        <w:tc>
          <w:tcPr>
            <w:tcW w:type="dxa" w:w="2381"/>
            <w:shd w:val="clear" w:color="auto" w:fill="F1F3E8"/>
          </w:tcPr>
          <w:p>
            <w:pPr>
              <w:spacing w:after="0"/>
            </w:pPr>
            <w:r/>
            <w:r>
              <w:rPr>
                <w:b w:val="0"/>
                <w:i w:val="0"/>
                <w:sz w:val="20"/>
              </w:rPr>
              <w:t>Données régionales ONAGRI non ouvertes (PDF)</w:t>
            </w:r>
          </w:p>
        </w:tc>
        <w:tc>
          <w:tcPr>
            <w:tcW w:type="dxa" w:w="2438"/>
            <w:shd w:val="clear" w:color="auto" w:fill="F1F3E8"/>
          </w:tcPr>
          <w:p>
            <w:pPr>
              <w:spacing w:after="0"/>
            </w:pPr>
            <w:r/>
            <w:r>
              <w:rPr>
                <w:b w:val="0"/>
                <w:i w:val="0"/>
                <w:sz w:val="20"/>
              </w:rPr>
              <w:t>Prévision nationale appliquée à la surface de la parcelle, champs scope et observed</w:t>
            </w:r>
          </w:p>
        </w:tc>
        <w:tc>
          <w:tcPr>
            <w:tcW w:type="dxa" w:w="2041"/>
            <w:shd w:val="clear" w:color="auto" w:fill="F1F3E8"/>
          </w:tcPr>
          <w:p>
            <w:pPr>
              <w:spacing w:after="0"/>
            </w:pPr>
            <w:r/>
            <w:r>
              <w:rPr>
                <w:b w:val="0"/>
                <w:i w:val="0"/>
                <w:sz w:val="20"/>
              </w:rPr>
              <w:t>Saison publiée : chiffre FAO renvoyé ; 7 tests</w:t>
            </w:r>
          </w:p>
        </w:tc>
      </w:tr>
      <w:tr>
        <w:tc>
          <w:tcPr>
            <w:tcW w:type="dxa" w:w="1361"/>
          </w:tcPr>
          <w:p>
            <w:pPr>
              <w:spacing w:after="0"/>
            </w:pPr>
            <w:r/>
            <w:r>
              <w:rPr>
                <w:b w:val="0"/>
                <w:i w:val="0"/>
                <w:sz w:val="20"/>
              </w:rPr>
              <w:t>10/2026</w:t>
            </w:r>
          </w:p>
        </w:tc>
        <w:tc>
          <w:tcPr>
            <w:tcW w:type="dxa" w:w="1191"/>
          </w:tcPr>
          <w:p>
            <w:pPr>
              <w:spacing w:after="0"/>
            </w:pPr>
            <w:r/>
            <w:r>
              <w:rPr>
                <w:b w:val="0"/>
                <w:i w:val="0"/>
                <w:sz w:val="20"/>
              </w:rPr>
              <w:t>Bug</w:t>
            </w:r>
          </w:p>
        </w:tc>
        <w:tc>
          <w:tcPr>
            <w:tcW w:type="dxa" w:w="2381"/>
          </w:tcPr>
          <w:p>
            <w:pPr>
              <w:spacing w:after="0"/>
            </w:pPr>
            <w:r/>
            <w:r>
              <w:rPr>
                <w:b w:val="0"/>
                <w:i w:val="0"/>
                <w:sz w:val="20"/>
              </w:rPr>
              <w:t>Échec d’un test d’entraînement</w:t>
            </w:r>
          </w:p>
        </w:tc>
        <w:tc>
          <w:tcPr>
            <w:tcW w:type="dxa" w:w="2438"/>
          </w:tcPr>
          <w:p>
            <w:pPr>
              <w:spacing w:after="0"/>
            </w:pPr>
            <w:r/>
            <w:r>
              <w:rPr>
                <w:b w:val="0"/>
                <w:i w:val="0"/>
                <w:sz w:val="20"/>
              </w:rPr>
              <w:t>Saisons sans production connue exclues de l’ajustement (jusqu’à 2024)</w:t>
            </w:r>
          </w:p>
        </w:tc>
        <w:tc>
          <w:tcPr>
            <w:tcW w:type="dxa" w:w="2041"/>
          </w:tcPr>
          <w:p>
            <w:pPr>
              <w:spacing w:after="0"/>
            </w:pPr>
            <w:r/>
            <w:r>
              <w:rPr>
                <w:b w:val="0"/>
                <w:i w:val="0"/>
                <w:sz w:val="20"/>
              </w:rPr>
              <w:t>Test relancé et réussi</w:t>
            </w:r>
          </w:p>
        </w:tc>
      </w:tr>
    </w:tbl>
    <w:p>
      <w:pPr>
        <w:spacing w:after="40"/>
      </w:pPr>
    </w:p>
    <w:p>
      <w:pPr>
        <w:spacing w:after="120"/>
      </w:pPr>
      <w:r>
        <w:rPr>
          <w:b/>
          <w:i w:val="0"/>
        </w:rPr>
        <w:t>4.2 Mes propres prompts</w:t>
      </w:r>
    </w:p>
    <w:p>
      <w:pPr>
        <w:spacing w:after="120"/>
      </w:pPr>
      <w:r>
        <w:rPr>
          <w:i/>
          <w:color w:val="8A8E7D"/>
        </w:rPr>
        <w:t>À compléter — ajouter vos échanges personnels avec un LLM (Claude, Copilot, ChatGPT…) : le prompt exact, la réponse et ce que vous avez gardé ou corrigé.</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Objectif</w:t>
            </w:r>
          </w:p>
        </w:tc>
        <w:tc>
          <w:tcPr>
            <w:tcW w:type="dxa" w:w="2381"/>
            <w:shd w:val="clear" w:color="auto" w:fill="3D4F1C"/>
          </w:tcPr>
          <w:p>
            <w:pPr>
              <w:spacing w:after="0"/>
            </w:pPr>
            <w:r/>
            <w:r>
              <w:rPr>
                <w:b/>
                <w:i w:val="0"/>
                <w:color w:val="FFFFFF"/>
                <w:sz w:val="20"/>
              </w:rPr>
              <w:t>Prompt</w:t>
            </w:r>
          </w:p>
        </w:tc>
        <w:tc>
          <w:tcPr>
            <w:tcW w:type="dxa" w:w="2438"/>
            <w:shd w:val="clear" w:color="auto" w:fill="3D4F1C"/>
          </w:tcPr>
          <w:p>
            <w:pPr>
              <w:spacing w:after="0"/>
            </w:pPr>
            <w:r/>
            <w:r>
              <w:rPr>
                <w:b/>
                <w:i w:val="0"/>
                <w:color w:val="FFFFFF"/>
                <w:sz w:val="20"/>
              </w:rPr>
              <w:t>Réponse / action de l’IA</w:t>
            </w:r>
          </w:p>
        </w:tc>
        <w:tc>
          <w:tcPr>
            <w:tcW w:type="dxa" w:w="2041"/>
            <w:shd w:val="clear" w:color="auto" w:fill="3D4F1C"/>
          </w:tcPr>
          <w:p>
            <w:pPr>
              <w:spacing w:after="0"/>
            </w:pPr>
            <w:r/>
            <w:r>
              <w:rPr>
                <w:b/>
                <w:i w:val="0"/>
                <w:color w:val="FFFFFF"/>
                <w:sz w:val="20"/>
              </w:rPr>
              <w:t>Vérification</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r>
        <w:tc>
          <w:tcPr>
            <w:tcW w:type="dxa" w:w="1361"/>
          </w:tcPr>
          <w:p>
            <w:pPr>
              <w:spacing w:after="0"/>
            </w:pPr>
            <w:r/>
            <w:r>
              <w:rPr>
                <w:b w:val="0"/>
                <w:i/>
                <w:color w:val="8A8E7D"/>
                <w:sz w:val="20"/>
              </w:rPr>
              <w:t>…</w:t>
            </w:r>
          </w:p>
        </w:tc>
        <w:tc>
          <w:tcPr>
            <w:tcW w:type="dxa" w:w="1191"/>
          </w:tcPr>
          <w:p>
            <w:pPr>
              <w:spacing w:after="0"/>
            </w:pPr>
            <w:r/>
            <w:r>
              <w:rPr>
                <w:b w:val="0"/>
                <w:i/>
                <w:color w:val="8A8E7D"/>
                <w:sz w:val="20"/>
              </w:rPr>
              <w:t>…</w:t>
            </w:r>
          </w:p>
        </w:tc>
        <w:tc>
          <w:tcPr>
            <w:tcW w:type="dxa" w:w="2381"/>
          </w:tcPr>
          <w:p>
            <w:pPr>
              <w:spacing w:after="0"/>
            </w:pPr>
            <w:r/>
            <w:r>
              <w:rPr>
                <w:b w:val="0"/>
                <w:i/>
                <w:color w:val="8A8E7D"/>
                <w:sz w:val="20"/>
              </w:rPr>
              <w:t>…</w:t>
            </w:r>
          </w:p>
        </w:tc>
        <w:tc>
          <w:tcPr>
            <w:tcW w:type="dxa" w:w="2438"/>
          </w:tcPr>
          <w:p>
            <w:pPr>
              <w:spacing w:after="0"/>
            </w:pPr>
            <w:r/>
            <w:r>
              <w:rPr>
                <w:b w:val="0"/>
                <w:i/>
                <w:color w:val="8A8E7D"/>
                <w:sz w:val="20"/>
              </w:rPr>
              <w:t>…</w:t>
            </w:r>
          </w:p>
        </w:tc>
        <w:tc>
          <w:tcPr>
            <w:tcW w:type="dxa" w:w="2041"/>
          </w:tcPr>
          <w:p>
            <w:pPr>
              <w:spacing w:after="0"/>
            </w:pPr>
            <w:r/>
            <w:r>
              <w:rPr>
                <w:b w:val="0"/>
                <w:i/>
                <w:color w:val="8A8E7D"/>
                <w:sz w:val="20"/>
              </w:rPr>
              <w:t>…</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Comme la saison précédente</w:t>
            </w:r>
          </w:p>
        </w:tc>
        <w:tc>
          <w:tcPr>
            <w:tcW w:type="dxa" w:w="4535"/>
          </w:tcPr>
          <w:p>
            <w:pPr>
              <w:spacing w:after="0"/>
            </w:pPr>
            <w:r/>
            <w:r>
              <w:rPr>
                <w:b w:val="0"/>
                <w:i w:val="0"/>
                <w:sz w:val="20"/>
              </w:rPr>
              <w:t>MAPE 60,7 %</w:t>
            </w:r>
          </w:p>
        </w:tc>
      </w:tr>
      <w:tr>
        <w:tc>
          <w:tcPr>
            <w:tcW w:type="dxa" w:w="4876"/>
            <w:shd w:val="clear" w:color="auto" w:fill="F1F3E8"/>
          </w:tcPr>
          <w:p>
            <w:pPr>
              <w:spacing w:after="0"/>
            </w:pPr>
            <w:r/>
            <w:r>
              <w:rPr>
                <w:b w:val="0"/>
                <w:i w:val="0"/>
                <w:sz w:val="20"/>
              </w:rPr>
              <w:t>Régression linéaire (référence)</w:t>
            </w:r>
          </w:p>
        </w:tc>
        <w:tc>
          <w:tcPr>
            <w:tcW w:type="dxa" w:w="4535"/>
            <w:shd w:val="clear" w:color="auto" w:fill="F1F3E8"/>
          </w:tcPr>
          <w:p>
            <w:pPr>
              <w:spacing w:after="0"/>
            </w:pPr>
            <w:r/>
            <w:r>
              <w:rPr>
                <w:b w:val="0"/>
                <w:i w:val="0"/>
                <w:sz w:val="20"/>
              </w:rPr>
              <w:t>MAPE 55,7 %</w:t>
            </w:r>
          </w:p>
        </w:tc>
      </w:tr>
      <w:tr>
        <w:tc>
          <w:tcPr>
            <w:tcW w:type="dxa" w:w="4876"/>
          </w:tcPr>
          <w:p>
            <w:pPr>
              <w:spacing w:after="0"/>
            </w:pPr>
            <w:r/>
            <w:r>
              <w:rPr>
                <w:b w:val="0"/>
                <w:i w:val="0"/>
                <w:sz w:val="20"/>
              </w:rPr>
              <w:t>Ridge</w:t>
            </w:r>
          </w:p>
        </w:tc>
        <w:tc>
          <w:tcPr>
            <w:tcW w:type="dxa" w:w="4535"/>
          </w:tcPr>
          <w:p>
            <w:pPr>
              <w:spacing w:after="0"/>
            </w:pPr>
            <w:r/>
            <w:r>
              <w:rPr>
                <w:b w:val="0"/>
                <w:i w:val="0"/>
                <w:sz w:val="20"/>
              </w:rPr>
              <w:t>MAPE 52,3 %</w:t>
            </w:r>
          </w:p>
        </w:tc>
      </w:tr>
      <w:tr>
        <w:tc>
          <w:tcPr>
            <w:tcW w:type="dxa" w:w="4876"/>
            <w:shd w:val="clear" w:color="auto" w:fill="F1F3E8"/>
          </w:tcPr>
          <w:p>
            <w:pPr>
              <w:spacing w:after="0"/>
            </w:pPr>
            <w:r/>
            <w:r>
              <w:rPr>
                <w:b w:val="0"/>
                <w:i w:val="0"/>
                <w:sz w:val="20"/>
              </w:rPr>
              <w:t>Gradient Boosting</w:t>
            </w:r>
          </w:p>
        </w:tc>
        <w:tc>
          <w:tcPr>
            <w:tcW w:type="dxa" w:w="4535"/>
            <w:shd w:val="clear" w:color="auto" w:fill="F1F3E8"/>
          </w:tcPr>
          <w:p>
            <w:pPr>
              <w:spacing w:after="0"/>
            </w:pPr>
            <w:r/>
            <w:r>
              <w:rPr>
                <w:b w:val="0"/>
                <w:i w:val="0"/>
                <w:sz w:val="20"/>
              </w:rPr>
              <w:t>MAPE 46,0 %</w:t>
            </w:r>
          </w:p>
        </w:tc>
      </w:tr>
      <w:tr>
        <w:tc>
          <w:tcPr>
            <w:tcW w:type="dxa" w:w="4876"/>
          </w:tcPr>
          <w:p>
            <w:pPr>
              <w:spacing w:after="0"/>
            </w:pPr>
            <w:r/>
            <w:r>
              <w:rPr>
                <w:b w:val="0"/>
                <w:i w:val="0"/>
                <w:sz w:val="20"/>
              </w:rPr>
              <w:t>Random Forest (modèle retenu)</w:t>
            </w:r>
          </w:p>
        </w:tc>
        <w:tc>
          <w:tcPr>
            <w:tcW w:type="dxa" w:w="4535"/>
          </w:tcPr>
          <w:p>
            <w:pPr>
              <w:spacing w:after="0"/>
            </w:pPr>
            <w:r/>
            <w:r>
              <w:rPr>
                <w:b w:val="0"/>
                <w:i w:val="0"/>
                <w:sz w:val="20"/>
              </w:rPr>
              <w:t>MAPE 40,6 %</w:t>
            </w:r>
          </w:p>
        </w:tc>
      </w:tr>
    </w:tbl>
    <w:p>
      <w:pPr>
        <w:spacing w:after="40"/>
      </w:pPr>
    </w:p>
    <w:p>
      <w:pPr>
        <w:spacing w:after="120"/>
      </w:pPr>
      <w:r>
        <w:rPr>
          <w:i w:val="0"/>
        </w:rPr>
        <w:t>En validation chronologique glissante (2005 → 2024), le Random Forest réduit l’erreur de 27 % par rapport à la régression linéaire, avec peu de données (une saison par an) et sans hypothèse de linéarité.</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Préparation des données</w:t>
            </w:r>
          </w:p>
        </w:tc>
        <w:tc>
          <w:tcPr>
            <w:tcW w:type="dxa" w:w="3628"/>
          </w:tcPr>
          <w:p>
            <w:pPr>
              <w:spacing w:after="0"/>
            </w:pPr>
            <w:r/>
            <w:r>
              <w:rPr>
                <w:b w:val="0"/>
                <w:i w:val="0"/>
                <w:sz w:val="20"/>
              </w:rPr>
              <w:t>Fusion FAOSTAT et ERA5 et variables d’alternance générées</w:t>
            </w:r>
          </w:p>
        </w:tc>
        <w:tc>
          <w:tcPr>
            <w:tcW w:type="dxa" w:w="2948"/>
          </w:tcPr>
          <w:p>
            <w:pPr>
              <w:spacing w:after="0"/>
            </w:pPr>
            <w:r/>
            <w:r>
              <w:rPr>
                <w:b w:val="0"/>
                <w:i w:val="0"/>
                <w:sz w:val="20"/>
              </w:rPr>
              <w:t>Choix des variables à justifier</w:t>
            </w:r>
          </w:p>
        </w:tc>
      </w:tr>
      <w:tr>
        <w:tc>
          <w:tcPr>
            <w:tcW w:type="dxa" w:w="2835"/>
            <w:shd w:val="clear" w:color="auto" w:fill="F1F3E8"/>
          </w:tcPr>
          <w:p>
            <w:pPr>
              <w:spacing w:after="0"/>
            </w:pPr>
            <w:r/>
            <w:r>
              <w:rPr>
                <w:b w:val="0"/>
                <w:i w:val="0"/>
                <w:sz w:val="20"/>
              </w:rPr>
              <w:t>Comparaison de modèles</w:t>
            </w:r>
          </w:p>
        </w:tc>
        <w:tc>
          <w:tcPr>
            <w:tcW w:type="dxa" w:w="3628"/>
            <w:shd w:val="clear" w:color="auto" w:fill="F1F3E8"/>
          </w:tcPr>
          <w:p>
            <w:pPr>
              <w:spacing w:after="0"/>
            </w:pPr>
            <w:r/>
            <w:r>
              <w:rPr>
                <w:b w:val="0"/>
                <w:i w:val="0"/>
                <w:sz w:val="20"/>
              </w:rPr>
              <w:t>Cinq modèles évalués avec la même validation glissante</w:t>
            </w:r>
          </w:p>
        </w:tc>
        <w:tc>
          <w:tcPr>
            <w:tcW w:type="dxa" w:w="2948"/>
            <w:shd w:val="clear" w:color="auto" w:fill="F1F3E8"/>
          </w:tcPr>
          <w:p>
            <w:pPr>
              <w:spacing w:after="0"/>
            </w:pPr>
            <w:r/>
            <w:r>
              <w:rPr>
                <w:b w:val="0"/>
                <w:i w:val="0"/>
                <w:sz w:val="20"/>
              </w:rPr>
              <w:t>Peu de saisons disponibles</w:t>
            </w:r>
          </w:p>
        </w:tc>
      </w:tr>
      <w:tr>
        <w:tc>
          <w:tcPr>
            <w:tcW w:type="dxa" w:w="2835"/>
          </w:tcPr>
          <w:p>
            <w:pPr>
              <w:spacing w:after="0"/>
            </w:pPr>
            <w:r/>
            <w:r>
              <w:rPr>
                <w:b w:val="0"/>
                <w:i w:val="0"/>
                <w:sz w:val="20"/>
              </w:rPr>
              <w:t>Débogage</w:t>
            </w:r>
          </w:p>
        </w:tc>
        <w:tc>
          <w:tcPr>
            <w:tcW w:type="dxa" w:w="3628"/>
          </w:tcPr>
          <w:p>
            <w:pPr>
              <w:spacing w:after="0"/>
            </w:pPr>
            <w:r/>
            <w:r>
              <w:rPr>
                <w:b w:val="0"/>
                <w:i w:val="0"/>
                <w:sz w:val="20"/>
              </w:rPr>
              <w:t>Cause d’un échec de test identifiée (valeurs manquantes)</w:t>
            </w:r>
          </w:p>
        </w:tc>
        <w:tc>
          <w:tcPr>
            <w:tcW w:type="dxa" w:w="2948"/>
          </w:tcPr>
          <w:p>
            <w:pPr>
              <w:spacing w:after="0"/>
            </w:pPr>
            <w:r/>
            <w:r>
              <w:rPr>
                <w:b w:val="0"/>
                <w:i w:val="0"/>
                <w:sz w:val="20"/>
              </w:rPr>
              <w:t>Correction relue</w:t>
            </w:r>
          </w:p>
        </w:tc>
      </w:tr>
    </w:tbl>
    <w:p>
      <w:pPr>
        <w:spacing w:after="40"/>
      </w:pPr>
    </w:p>
    <w:p>
      <w:pPr>
        <w:pStyle w:val="Heading1"/>
      </w:pPr>
      <w:r>
        <w:t>7. Limites et bonnes pratiques retenues</w:t>
      </w:r>
    </w:p>
    <w:p>
      <w:pPr>
        <w:pStyle w:val="ListBullet"/>
      </w:pPr>
      <w:r>
        <w:t>Avec une saison par an, une validation chronologique est indispensable : jamais de mélange aléatoire.</w:t>
      </w:r>
    </w:p>
    <w:p>
      <w:pPr>
        <w:pStyle w:val="ListBullet"/>
      </w:pPr>
      <w:r>
        <w:t>Dire clairement les limites : le modèle est national faute de données régionales ouvertes.</w:t>
      </w:r>
    </w:p>
    <w:p>
      <w:pPr>
        <w:pStyle w:val="ListBullet"/>
      </w:pPr>
      <w:r>
        <w:t>Ne jamais accepter un résultat sans l’exécuter : chaque proposition a été vérifiée par un test ou une mesure.</w:t>
      </w:r>
    </w:p>
    <w:p>
      <w:pPr>
        <w:pStyle w:val="ListBullet"/>
      </w:pPr>
      <w:r>
        <w:t>Comparer systématiquement à une référence simple avant de retenir un modèle plus complexe.</w:t>
      </w:r>
    </w:p>
    <w:p>
      <w:pPr>
        <w:pStyle w:val="ListBullet"/>
      </w:pPr>
      <w:r>
        <w:t>Ne jamais partager de secret (clé d’API, mot de passe) avec l’IA ni dans une capture d’écran.</w:t>
      </w:r>
    </w:p>
    <w:p>
      <w:pPr>
        <w:pStyle w:val="Heading1"/>
      </w:pPr>
      <w:r>
        <w:t>8. Conclusion</w:t>
      </w:r>
    </w:p>
    <w:p>
      <w:pPr>
        <w:spacing w:after="120"/>
      </w:pPr>
      <w:r>
        <w:rPr>
          <w:i w:val="0"/>
        </w:rPr>
        <w:t>L’IA a accéléré la préparation des données et la comparaison des modèles de M3 ; le Random Forest réduit l’erreur de 27 % par rapport à la régression linéaire, avec une limite assumée : la prévision est nationale.</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Med Amine Bejaoui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