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Zitouna AI — Rapport final</w:t>
      </w:r>
    </w:p>
    <w:p>
      <w:pPr/>
      <w:r>
        <w:t xml:space="preserve">Oct 17, 2026</w:t>
      </w:r>
      <w:r>
        <w:t xml:space="preserve"> · </w:t>
      </w:r>
      <w:r>
        <w:t xml:space="preserve">@emna</w:t>
      </w:r>
    </w:p>
    <w:p>
      <w:pPr/>
      <w:r>
        <w:t xml:space="preserve">Zitouna AI aide les petits oléiculteurs tunisiens avec six modules d’IA entraînés sur des données réelles, intégrés dans une application web complète (Angular, Spring Boot, PostgreSQL, FastAPI) et chacun comparé à une référence simple.</w:t>
      </w:r>
    </w:p>
    <w:p>
      <w:pPr>
        <w:pStyle w:val="Heading2"/>
      </w:pPr>
      <w:r>
        <w:t xml:space="preserve">En bref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3"/>
        <w:gridCol w:w="4302"/>
        <w:gridCol w:w="3085"/>
      </w:tblGrid>
      <w:tr>
        <w:trPr>
          <w:tblHeader/>
        </w:trPr>
        <w:tc>
          <w:tcPr>
            <w:tcW w:w="1973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4302" w:type="dxa"/>
            <w:shd w:val="clear" w:color="auto" w:fill="F2F2F2"/>
          </w:tcPr>
          <w:p>
            <w:pPr/>
            <w:r>
              <w:t xml:space="preserve">Ce qu’il fait pour l’agriculteur</w:t>
            </w:r>
          </w:p>
        </w:tc>
        <w:tc>
          <w:tcPr>
            <w:tcW w:w="3085" w:type="dxa"/>
            <w:shd w:val="clear" w:color="auto" w:fill="F2F2F2"/>
          </w:tcPr>
          <w:p>
            <w:pPr/>
            <w:r>
              <w:t xml:space="preserve">Résultat clé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M1 · Maladies</w:t>
            </w:r>
          </w:p>
        </w:tc>
        <w:tc>
          <w:tcPr>
            <w:tcW w:w="4302" w:type="dxa"/>
          </w:tcPr>
          <w:p>
            <w:pPr/>
            <w:r>
              <w:t xml:space="preserve">Reconnaît la maladie d’une feuille sur une photo</w:t>
            </w:r>
          </w:p>
        </w:tc>
        <w:tc>
          <w:tcPr>
            <w:tcW w:w="3085" w:type="dxa"/>
          </w:tcPr>
          <w:p>
            <w:pPr/>
            <w:r>
              <w:t xml:space="preserve">97,1 % de précision (petit CNN : 75,2 %)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M2 · Irrigation</w:t>
            </w:r>
          </w:p>
        </w:tc>
        <w:tc>
          <w:tcPr>
            <w:tcW w:w="4302" w:type="dxa"/>
          </w:tcPr>
          <w:p>
            <w:pPr/>
            <w:r>
              <w:t xml:space="preserve">Donne la quantité d’eau du jour et alerte gel ou canicule</w:t>
            </w:r>
          </w:p>
        </w:tc>
        <w:tc>
          <w:tcPr>
            <w:tcW w:w="3085" w:type="dxa"/>
          </w:tcPr>
          <w:p>
            <w:pPr/>
            <w:r>
              <w:t xml:space="preserve">Erreur réduite de 33 % sur l’ET₀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M3 · Récolte</w:t>
            </w:r>
          </w:p>
        </w:tc>
        <w:tc>
          <w:tcPr>
            <w:tcW w:w="4302" w:type="dxa"/>
          </w:tcPr>
          <w:p>
            <w:pPr/>
            <w:r>
              <w:t xml:space="preserve">Estime la récolte de la saison et de la parcelle</w:t>
            </w:r>
          </w:p>
        </w:tc>
        <w:tc>
          <w:tcPr>
            <w:tcW w:w="3085" w:type="dxa"/>
          </w:tcPr>
          <w:p>
            <w:pPr/>
            <w:r>
              <w:t xml:space="preserve">Erreur réduite de 27 %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M4 · Prix</w:t>
            </w:r>
          </w:p>
        </w:tc>
        <w:tc>
          <w:tcPr>
            <w:tcW w:w="4302" w:type="dxa"/>
          </w:tcPr>
          <w:p>
            <w:pPr/>
            <w:r>
              <w:t xml:space="preserve">Prévoit le prix de l’huile, conseille vendre ou stocker</w:t>
            </w:r>
          </w:p>
        </w:tc>
        <w:tc>
          <w:tcPr>
            <w:tcW w:w="3085" w:type="dxa"/>
          </w:tcPr>
          <w:p>
            <w:pPr/>
            <w:r>
              <w:t xml:space="preserve">+0,10 TND/kg, 9 conseils « stocker » sur 10 gagnants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M5 · Assistant</w:t>
            </w:r>
          </w:p>
        </w:tc>
        <w:tc>
          <w:tcPr>
            <w:tcW w:w="4302" w:type="dxa"/>
          </w:tcPr>
          <w:p>
            <w:pPr/>
            <w:r>
              <w:t xml:space="preserve">Répond aux questions écrites en derja</w:t>
            </w:r>
          </w:p>
        </w:tc>
        <w:tc>
          <w:tcPr>
            <w:tcW w:w="3085" w:type="dxa"/>
          </w:tcPr>
          <w:p>
            <w:pPr/>
            <w:r>
              <w:t xml:space="preserve">19 questions sur 25 bien comprises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M6 · Comptage</w:t>
            </w:r>
          </w:p>
        </w:tc>
        <w:tc>
          <w:tcPr>
            <w:tcW w:w="4302" w:type="dxa"/>
          </w:tcPr>
          <w:p>
            <w:pPr/>
            <w:r>
              <w:t xml:space="preserve">Compte les oliviers sur une image vue du ciel</w:t>
            </w:r>
          </w:p>
        </w:tc>
        <w:tc>
          <w:tcPr>
            <w:tcW w:w="3085" w:type="dxa"/>
          </w:tcPr>
          <w:p>
            <w:pPr/>
            <w:r>
              <w:t xml:space="preserve">52 arbres trouvés sur 52</w:t>
            </w:r>
          </w:p>
        </w:tc>
      </w:tr>
    </w:tbl>
    <w:p>
      <w:pPr/>
      <w:r>
        <w:t xml:space="preserve">Une application web complète : espace agriculteur, back-office administrateur, 9 conteneurs Docker et 154 tests automatiques, tous réussis.</w:t>
      </w:r>
    </w:p>
    <w:p>
      <w:pPr>
        <w:pStyle w:val="Heading2"/>
      </w:pPr>
      <w:r>
        <w:t xml:space="preserve">Sommaire</w:t>
      </w:r>
    </w:p>
    <w:p>
      <w:pPr>
        <w:pStyle w:val="ListParagraph"/>
        <w:numPr>
          <w:ilvl w:val="0"/>
          <w:numId w:val="2"/>
        </w:numPr>
      </w:pPr>
      <w:r>
        <w:t xml:space="preserve">Équipe</w:t>
      </w:r>
    </w:p>
    <w:p>
      <w:pPr>
        <w:pStyle w:val="ListParagraph"/>
        <w:numPr>
          <w:ilvl w:val="0"/>
          <w:numId w:val="2"/>
        </w:numPr>
      </w:pPr>
      <w:r>
        <w:t xml:space="preserve">Contexte et objectifs</w:t>
      </w:r>
    </w:p>
    <w:p>
      <w:pPr>
        <w:pStyle w:val="ListParagraph"/>
        <w:numPr>
          <w:ilvl w:val="0"/>
          <w:numId w:val="2"/>
        </w:numPr>
      </w:pPr>
      <w:r>
        <w:t xml:space="preserve">Démarche et organisation</w:t>
      </w:r>
    </w:p>
    <w:p>
      <w:pPr>
        <w:pStyle w:val="ListParagraph"/>
        <w:numPr>
          <w:ilvl w:val="0"/>
          <w:numId w:val="2"/>
        </w:numPr>
      </w:pPr>
      <w:r>
        <w:t xml:space="preserve">Technologies</w:t>
      </w:r>
    </w:p>
    <w:p>
      <w:pPr>
        <w:pStyle w:val="ListParagraph"/>
        <w:numPr>
          <w:ilvl w:val="0"/>
          <w:numId w:val="2"/>
        </w:numPr>
      </w:pPr>
      <w:r>
        <w:t xml:space="preserve">Architecture</w:t>
      </w:r>
    </w:p>
    <w:p>
      <w:pPr>
        <w:pStyle w:val="ListParagraph"/>
        <w:numPr>
          <w:ilvl w:val="0"/>
          <w:numId w:val="2"/>
        </w:numPr>
      </w:pPr>
      <w:r>
        <w:t xml:space="preserve">Données</w:t>
      </w:r>
    </w:p>
    <w:p>
      <w:pPr>
        <w:pStyle w:val="ListParagraph"/>
        <w:numPr>
          <w:ilvl w:val="0"/>
          <w:numId w:val="2"/>
        </w:numPr>
      </w:pPr>
      <w:r>
        <w:t xml:space="preserve">Tableau comparatif des modèles</w:t>
      </w:r>
    </w:p>
    <w:p>
      <w:pPr>
        <w:pStyle w:val="ListParagraph"/>
        <w:numPr>
          <w:ilvl w:val="0"/>
          <w:numId w:val="2"/>
        </w:numPr>
      </w:pPr>
      <w:r>
        <w:t xml:space="preserve">Les six modules : </w:t>
      </w:r>
      <w:r>
        <w:t xml:space="preserve">M1</w:t>
      </w:r>
      <w:r>
        <w:t xml:space="preserve"> · </w:t>
      </w:r>
      <w:r>
        <w:t xml:space="preserve">M2</w:t>
      </w:r>
      <w:r>
        <w:t xml:space="preserve"> · </w:t>
      </w:r>
      <w:r>
        <w:t xml:space="preserve">M3</w:t>
      </w:r>
      <w:r>
        <w:t xml:space="preserve"> · </w:t>
      </w:r>
      <w:r>
        <w:t xml:space="preserve">M4</w:t>
      </w:r>
      <w:r>
        <w:t xml:space="preserve"> · </w:t>
      </w:r>
      <w:r>
        <w:t xml:space="preserve">M5</w:t>
      </w:r>
      <w:r>
        <w:t xml:space="preserve"> · </w:t>
      </w:r>
      <w:r>
        <w:t xml:space="preserve">M6</w:t>
      </w:r>
    </w:p>
    <w:p>
      <w:pPr>
        <w:pStyle w:val="ListParagraph"/>
        <w:numPr>
          <w:ilvl w:val="0"/>
          <w:numId w:val="2"/>
        </w:numPr>
      </w:pPr>
      <w:r>
        <w:t xml:space="preserve">L’application</w:t>
      </w:r>
    </w:p>
    <w:p>
      <w:pPr>
        <w:pStyle w:val="ListParagraph"/>
        <w:numPr>
          <w:ilvl w:val="0"/>
          <w:numId w:val="2"/>
        </w:numPr>
      </w:pPr>
      <w:r>
        <w:t xml:space="preserve">Lancer l’application</w:t>
      </w:r>
    </w:p>
    <w:p>
      <w:pPr>
        <w:pStyle w:val="ListParagraph"/>
        <w:numPr>
          <w:ilvl w:val="0"/>
          <w:numId w:val="2"/>
        </w:numPr>
      </w:pPr>
      <w:r>
        <w:t xml:space="preserve">API du backend</w:t>
      </w:r>
    </w:p>
    <w:p>
      <w:pPr>
        <w:pStyle w:val="ListParagraph"/>
        <w:numPr>
          <w:ilvl w:val="0"/>
          <w:numId w:val="2"/>
        </w:numPr>
      </w:pPr>
      <w:r>
        <w:t xml:space="preserve">Base de données</w:t>
      </w:r>
    </w:p>
    <w:p>
      <w:pPr>
        <w:pStyle w:val="ListParagraph"/>
        <w:numPr>
          <w:ilvl w:val="0"/>
          <w:numId w:val="2"/>
        </w:numPr>
      </w:pPr>
      <w:r>
        <w:t xml:space="preserve">Sécurité et protection des données</w:t>
      </w:r>
    </w:p>
    <w:p>
      <w:pPr>
        <w:pStyle w:val="ListParagraph"/>
        <w:numPr>
          <w:ilvl w:val="0"/>
          <w:numId w:val="2"/>
        </w:numPr>
      </w:pPr>
      <w:r>
        <w:t xml:space="preserve">Tests et qualité</w:t>
      </w:r>
    </w:p>
    <w:p>
      <w:pPr>
        <w:pStyle w:val="ListParagraph"/>
        <w:numPr>
          <w:ilvl w:val="0"/>
          <w:numId w:val="2"/>
        </w:numPr>
      </w:pPr>
      <w:r>
        <w:t xml:space="preserve">Limites et perspectives</w:t>
      </w:r>
    </w:p>
    <w:p>
      <w:pPr>
        <w:pStyle w:val="ListParagraph"/>
        <w:numPr>
          <w:ilvl w:val="0"/>
          <w:numId w:val="2"/>
        </w:numPr>
      </w:pPr>
      <w:r>
        <w:t xml:space="preserve">Conclusion</w:t>
      </w:r>
    </w:p>
    <w:p>
      <w:pPr>
        <w:pStyle w:val="ListParagraph"/>
        <w:numPr>
          <w:ilvl w:val="0"/>
          <w:numId w:val="2"/>
        </w:numPr>
      </w:pPr>
      <w:r>
        <w:t xml:space="preserve">Sources</w:t>
      </w:r>
    </w:p>
    <w:p>
      <w:pPr>
        <w:pStyle w:val="ListParagraph"/>
        <w:numPr>
          <w:ilvl w:val="0"/>
          <w:numId w:val="2"/>
        </w:numPr>
      </w:pPr>
      <w:r>
        <w:t xml:space="preserve">Annexe · Glossaire</w:t>
      </w:r>
    </w:p>
    <w:p>
      <w:pPr>
        <w:pStyle w:val="Heading2"/>
      </w:pPr>
      <w:r>
        <w:t xml:space="preserve">Équipe</w:t>
      </w:r>
    </w:p>
    <w:p>
      <w:pPr/>
      <w:r>
        <w:t xml:space="preserve">Six membres : chacun porte un module d’IA de bout en bout (données, modèle, API, écran) et un rôle transversal.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07"/>
        <w:gridCol w:w="2625"/>
        <w:gridCol w:w="1962"/>
        <w:gridCol w:w="2466"/>
      </w:tblGrid>
      <w:tr>
        <w:trPr>
          <w:tblHeader/>
        </w:trPr>
        <w:tc>
          <w:tcPr>
            <w:tcW w:w="2307" w:type="dxa"/>
            <w:shd w:val="clear" w:color="auto" w:fill="F2F2F2"/>
          </w:tcPr>
          <w:p>
            <w:pPr/>
            <w:r>
              <w:t xml:space="preserve">Membre</w:t>
            </w:r>
          </w:p>
        </w:tc>
        <w:tc>
          <w:tcPr>
            <w:tcW w:w="2625" w:type="dxa"/>
            <w:shd w:val="clear" w:color="auto" w:fill="F2F2F2"/>
          </w:tcPr>
          <w:p>
            <w:pPr/>
            <w:r>
              <w:t xml:space="preserve">Module d’IA</w:t>
            </w:r>
          </w:p>
        </w:tc>
        <w:tc>
          <w:tcPr>
            <w:tcW w:w="1962" w:type="dxa"/>
            <w:shd w:val="clear" w:color="auto" w:fill="F2F2F2"/>
          </w:tcPr>
          <w:p>
            <w:pPr/>
            <w:r>
              <w:t xml:space="preserve">Type d’IA</w:t>
            </w:r>
          </w:p>
        </w:tc>
        <w:tc>
          <w:tcPr>
            <w:tcW w:w="2466" w:type="dxa"/>
            <w:shd w:val="clear" w:color="auto" w:fill="F2F2F2"/>
          </w:tcPr>
          <w:p>
            <w:pPr/>
            <w:r>
              <w:t xml:space="preserve">Rôle transversal</w:t>
            </w:r>
          </w:p>
        </w:tc>
      </w:tr>
      <w:tr>
        <w:tc>
          <w:tcPr>
            <w:tcW w:w="2307" w:type="dxa"/>
          </w:tcPr>
          <w:p>
            <w:pPr/>
            <w:r>
              <w:t xml:space="preserve">Omar Azouz</w:t>
            </w:r>
          </w:p>
        </w:tc>
        <w:tc>
          <w:tcPr>
            <w:tcW w:w="2625" w:type="dxa"/>
          </w:tcPr>
          <w:p>
            <w:pPr/>
            <w:r>
              <w:t xml:space="preserve">M1 · Maladies des feuilles</w:t>
            </w:r>
          </w:p>
        </w:tc>
        <w:tc>
          <w:tcPr>
            <w:tcW w:w="1962" w:type="dxa"/>
          </w:tcPr>
          <w:p>
            <w:pPr/>
            <w:r>
              <w:t xml:space="preserve">Vision : classification</w:t>
            </w:r>
          </w:p>
        </w:tc>
        <w:tc>
          <w:tcPr>
            <w:tcW w:w="2466" w:type="dxa"/>
          </w:tcPr>
          <w:p>
            <w:pPr/>
            <w:r>
              <w:t xml:space="preserve">Pipeline d’images partagé avec M6</w:t>
            </w:r>
          </w:p>
        </w:tc>
      </w:tr>
      <w:tr>
        <w:tc>
          <w:tcPr>
            <w:tcW w:w="2307" w:type="dxa"/>
          </w:tcPr>
          <w:p>
            <w:pPr/>
            <w:r>
              <w:t xml:space="preserve">Khadija Ben Ayed</w:t>
            </w:r>
          </w:p>
        </w:tc>
        <w:tc>
          <w:tcPr>
            <w:tcW w:w="2625" w:type="dxa"/>
          </w:tcPr>
          <w:p>
            <w:pPr/>
            <w:r>
              <w:t xml:space="preserve">M2 · Irrigation et alertes météo</w:t>
            </w:r>
          </w:p>
        </w:tc>
        <w:tc>
          <w:tcPr>
            <w:tcW w:w="1962" w:type="dxa"/>
          </w:tcPr>
          <w:p>
            <w:pPr/>
            <w:r>
              <w:t xml:space="preserve">Séries temporelles</w:t>
            </w:r>
          </w:p>
        </w:tc>
        <w:tc>
          <w:tcPr>
            <w:tcW w:w="2466" w:type="dxa"/>
          </w:tcPr>
          <w:p>
            <w:pPr/>
            <w:r>
              <w:t xml:space="preserve">Backend et intégration des API</w:t>
            </w:r>
          </w:p>
        </w:tc>
      </w:tr>
      <w:tr>
        <w:tc>
          <w:tcPr>
            <w:tcW w:w="2307" w:type="dxa"/>
          </w:tcPr>
          <w:p>
            <w:pPr/>
            <w:r>
              <w:t xml:space="preserve">Med Amine Bejaoui</w:t>
            </w:r>
          </w:p>
        </w:tc>
        <w:tc>
          <w:tcPr>
            <w:tcW w:w="2625" w:type="dxa"/>
          </w:tcPr>
          <w:p>
            <w:pPr/>
            <w:r>
              <w:t xml:space="preserve">M3 · Prévision du rendement</w:t>
            </w:r>
          </w:p>
        </w:tc>
        <w:tc>
          <w:tcPr>
            <w:tcW w:w="1962" w:type="dxa"/>
          </w:tcPr>
          <w:p>
            <w:pPr/>
            <w:r>
              <w:t xml:space="preserve">Régression tabulaire</w:t>
            </w:r>
          </w:p>
        </w:tc>
        <w:tc>
          <w:tcPr>
            <w:tcW w:w="2466" w:type="dxa"/>
          </w:tcPr>
          <w:p>
            <w:pPr/>
            <w:r>
              <w:t xml:space="preserve">Suivi des expériences, dépôt Git</w:t>
            </w:r>
          </w:p>
        </w:tc>
      </w:tr>
      <w:tr>
        <w:tc>
          <w:tcPr>
            <w:tcW w:w="2307" w:type="dxa"/>
          </w:tcPr>
          <w:p>
            <w:pPr/>
            <w:r>
              <w:t xml:space="preserve">Emna Dorai</w:t>
            </w:r>
          </w:p>
        </w:tc>
        <w:tc>
          <w:tcPr>
            <w:tcW w:w="2625" w:type="dxa"/>
          </w:tcPr>
          <w:p>
            <w:pPr/>
            <w:r>
              <w:t xml:space="preserve">M4 · Prix et moment de vente</w:t>
            </w:r>
          </w:p>
        </w:tc>
        <w:tc>
          <w:tcPr>
            <w:tcW w:w="1962" w:type="dxa"/>
          </w:tcPr>
          <w:p>
            <w:pPr/>
            <w:r>
              <w:t xml:space="preserve">Séries temporelles</w:t>
            </w:r>
          </w:p>
        </w:tc>
        <w:tc>
          <w:tcPr>
            <w:tcW w:w="2466" w:type="dxa"/>
          </w:tcPr>
          <w:p>
            <w:pPr/>
            <w:r>
              <w:t xml:space="preserve">Frontend</w:t>
            </w:r>
          </w:p>
        </w:tc>
      </w:tr>
      <w:tr>
        <w:tc>
          <w:tcPr>
            <w:tcW w:w="2307" w:type="dxa"/>
          </w:tcPr>
          <w:p>
            <w:pPr/>
            <w:r>
              <w:t xml:space="preserve">Rima Jenhani</w:t>
            </w:r>
          </w:p>
        </w:tc>
        <w:tc>
          <w:tcPr>
            <w:tcW w:w="2625" w:type="dxa"/>
          </w:tcPr>
          <w:p>
            <w:pPr/>
            <w:r>
              <w:t xml:space="preserve">M5 · Assistant en derja</w:t>
            </w:r>
          </w:p>
        </w:tc>
        <w:tc>
          <w:tcPr>
            <w:tcW w:w="1962" w:type="dxa"/>
          </w:tcPr>
          <w:p>
            <w:pPr/>
            <w:r>
              <w:t xml:space="preserve">NLP : classification + LLM</w:t>
            </w:r>
          </w:p>
        </w:tc>
        <w:tc>
          <w:tcPr>
            <w:tcW w:w="2466" w:type="dxa"/>
          </w:tcPr>
          <w:p>
            <w:pPr/>
            <w:r>
              <w:t xml:space="preserve">Rapport, tests, démonstration</w:t>
            </w:r>
          </w:p>
        </w:tc>
      </w:tr>
      <w:tr>
        <w:tc>
          <w:tcPr>
            <w:tcW w:w="2307" w:type="dxa"/>
          </w:tcPr>
          <w:p>
            <w:pPr/>
            <w:r>
              <w:t xml:space="preserve">Aziz le Dlissi</w:t>
            </w:r>
          </w:p>
        </w:tc>
        <w:tc>
          <w:tcPr>
            <w:tcW w:w="2625" w:type="dxa"/>
          </w:tcPr>
          <w:p>
            <w:pPr/>
            <w:r>
              <w:t xml:space="preserve">M6 · Comptage des oliviers</w:t>
            </w:r>
          </w:p>
        </w:tc>
        <w:tc>
          <w:tcPr>
            <w:tcW w:w="1962" w:type="dxa"/>
          </w:tcPr>
          <w:p>
            <w:pPr/>
            <w:r>
              <w:t xml:space="preserve">Vision : détection</w:t>
            </w:r>
          </w:p>
        </w:tc>
        <w:tc>
          <w:tcPr>
            <w:tcW w:w="2466" w:type="dxa"/>
          </w:tcPr>
          <w:p>
            <w:pPr/>
            <w:r>
              <w:t xml:space="preserve">Docker et déploiement</w:t>
            </w:r>
          </w:p>
        </w:tc>
      </w:tr>
    </w:tbl>
    <w:p>
      <w:pPr>
        <w:pStyle w:val="Heading2"/>
      </w:pPr>
      <w:r>
        <w:t xml:space="preserve">Contexte et objectifs</w:t>
      </w:r>
    </w:p>
    <w:p>
      <w:pPr/>
      <w:r>
        <w:t xml:space="preserve">Le petit oléiculteur décide souvent sans outil : l’application lui donne cinq réponses chiffrées sur la santé, l’eau, la récolte, le prix et ses questions.</w:t>
      </w:r>
    </w:p>
    <w:p>
      <w:pPr/>
      <w:r>
        <w:t xml:space="preserve">L’huile d’olive est un produit stratégique pour la Tunisie : 1 625 huileries, dont 931 en activité en janvier 2023 (ONAGRI), un taux d’extraction de 13 % à 31 % selon la région, et des prix au producteur très volatils, parfois sous le coût de production.</w:t>
      </w:r>
    </w:p>
    <w:p>
      <w:pPr/>
      <w:r>
        <w:t xml:space="preserve">Objectifs fixés par le plan de projet :</w:t>
      </w:r>
    </w:p>
    <w:p>
      <w:pPr>
        <w:pStyle w:val="ListParagraph"/>
        <w:numPr>
          <w:ilvl w:val="0"/>
          <w:numId w:val="3"/>
        </w:numPr>
      </w:pPr>
      <w:r>
        <w:t xml:space="preserve">Identifier la maladie d’une feuille à partir d’une photo et proposer un conseil.</w:t>
      </w:r>
    </w:p>
    <w:p>
      <w:pPr>
        <w:pStyle w:val="ListParagraph"/>
        <w:numPr>
          <w:ilvl w:val="0"/>
          <w:numId w:val="3"/>
        </w:numPr>
      </w:pPr>
      <w:r>
        <w:t xml:space="preserve">Donner chaque jour un conseil d’irrigation et des alertes gel ou canicule pour la parcelle.</w:t>
      </w:r>
    </w:p>
    <w:p>
      <w:pPr>
        <w:pStyle w:val="ListParagraph"/>
        <w:numPr>
          <w:ilvl w:val="0"/>
          <w:numId w:val="3"/>
        </w:numPr>
      </w:pPr>
      <w:r>
        <w:t xml:space="preserve">Estimer la récolte de la saison et celle de la parcelle.</w:t>
      </w:r>
    </w:p>
    <w:p>
      <w:pPr>
        <w:pStyle w:val="ListParagraph"/>
        <w:numPr>
          <w:ilvl w:val="0"/>
          <w:numId w:val="3"/>
        </w:numPr>
      </w:pPr>
      <w:r>
        <w:t xml:space="preserve">Prévoir le prix de l’huile et conseiller « vendre maintenant » ou « stocker ».</w:t>
      </w:r>
    </w:p>
    <w:p>
      <w:pPr>
        <w:pStyle w:val="ListParagraph"/>
        <w:numPr>
          <w:ilvl w:val="0"/>
          <w:numId w:val="3"/>
        </w:numPr>
      </w:pPr>
      <w:r>
        <w:t xml:space="preserve">Répondre aux questions écrites en derja.</w:t>
      </w:r>
    </w:p>
    <w:p>
      <w:pPr>
        <w:pStyle w:val="ListParagraph"/>
        <w:numPr>
          <w:ilvl w:val="0"/>
          <w:numId w:val="3"/>
        </w:numPr>
      </w:pPr>
      <w:r>
        <w:t xml:space="preserve">Compter les oliviers sur une image vue du ciel.</w:t>
      </w:r>
    </w:p>
    <w:p>
      <w:pPr/>
      <w:r>
        <w:t xml:space="preserve">Critère de réussite : les six modules tournent dans l’application pendant la démonstration, chacun avec une métrique comparée à une référence simple.</w:t>
      </w:r>
    </w:p>
    <w:p>
      <w:pPr>
        <w:pStyle w:val="Heading2"/>
      </w:pPr>
      <w:r>
        <w:t xml:space="preserve">Démarche et organisation</w:t>
      </w:r>
    </w:p>
    <w:p>
      <w:pPr/>
      <w:r>
        <w:t xml:space="preserve">Les six modules ont suivi le même cycle, du notebook jusqu’à l’écran de l’agriculteur.</w:t>
      </w:r>
    </w:p>
    <w:p>
      <w:pPr>
        <w:pStyle w:val="ListParagraph"/>
        <w:numPr>
          <w:ilvl w:val="0"/>
          <w:numId w:val="4"/>
        </w:numPr>
      </w:pPr>
      <w:r>
        <w:t xml:space="preserve">Collecte de données réelles et publiques, puis exploration dans un notebook ; les données brutes ne sont jamais modifiées.</w:t>
      </w:r>
    </w:p>
    <w:p>
      <w:pPr>
        <w:pStyle w:val="ListParagraph"/>
        <w:numPr>
          <w:ilvl w:val="0"/>
          <w:numId w:val="4"/>
        </w:numPr>
      </w:pPr>
      <w:r>
        <w:t xml:space="preserve">Une référence simple d’abord, pour savoir ce qu’un vrai modèle doit battre.</w:t>
      </w:r>
    </w:p>
    <w:p>
      <w:pPr>
        <w:pStyle w:val="ListParagraph"/>
        <w:numPr>
          <w:ilvl w:val="0"/>
          <w:numId w:val="4"/>
        </w:numPr>
      </w:pPr>
      <w:r>
        <w:t xml:space="preserve">Entraînement et comparaison de plusieurs modèles sur un découpage sans fuite : groupé par feuille d’origine pour les images, chronologique pour les séries temporelles.</w:t>
      </w:r>
    </w:p>
    <w:p>
      <w:pPr>
        <w:pStyle w:val="ListParagraph"/>
        <w:numPr>
          <w:ilvl w:val="0"/>
          <w:numId w:val="4"/>
        </w:numPr>
      </w:pPr>
      <w:r>
        <w:t xml:space="preserve">Choix du modèle et des réglages sur la validation ; mesure finale une seule fois sur le test.</w:t>
      </w:r>
    </w:p>
    <w:p>
      <w:pPr>
        <w:pStyle w:val="ListParagraph"/>
        <w:numPr>
          <w:ilvl w:val="0"/>
          <w:numId w:val="4"/>
        </w:numPr>
      </w:pPr>
      <w:r>
        <w:t xml:space="preserve">Service FastAPI avec un contrat d’API fixe, ses tests automatiques, puis son conteneur Docker.</w:t>
      </w:r>
    </w:p>
    <w:p>
      <w:pPr>
        <w:pStyle w:val="ListParagraph"/>
        <w:numPr>
          <w:ilvl w:val="0"/>
          <w:numId w:val="4"/>
        </w:numPr>
      </w:pPr>
      <w:r>
        <w:t xml:space="preserve">Client dans le backend, écran dans le frontend, et enregistrement de chaque prédiction dans l’historique.</w:t>
      </w:r>
    </w:p>
    <w:p>
      <w:pPr/>
      <w:r>
        <w:t xml:space="preserve">Organisation : un membre par module et un rôle transversal chacun (voir Équipe). Tout le code est dans un seul dépôt Git (</w:t>
      </w:r>
      <w:r>
        <w:rPr>
          <w:rStyle w:val="CodeChar"/>
        </w:rPr>
        <w:t xml:space="preserve">notebooks/</w:t>
      </w:r>
      <w:r>
        <w:t xml:space="preserve">, </w:t>
      </w:r>
      <w:r>
        <w:rPr>
          <w:rStyle w:val="CodeChar"/>
        </w:rPr>
        <w:t xml:space="preserve">ai-services/</w:t>
      </w:r>
      <w:r>
        <w:t xml:space="preserve">, </w:t>
      </w:r>
      <w:r>
        <w:rPr>
          <w:rStyle w:val="CodeChar"/>
        </w:rPr>
        <w:t xml:space="preserve">backend/</w:t>
      </w:r>
      <w:r>
        <w:t xml:space="preserve">, </w:t>
      </w:r>
      <w:r>
        <w:rPr>
          <w:rStyle w:val="CodeChar"/>
        </w:rPr>
        <w:t xml:space="preserve">frontend/</w:t>
      </w:r>
      <w:r>
        <w:t xml:space="preserve">) ; le contrat d’API commun est décrit dans </w:t>
      </w:r>
      <w:r>
        <w:rPr>
          <w:rStyle w:val="CodeChar"/>
        </w:rPr>
        <w:t xml:space="preserve">docs/api-contract.md</w:t>
      </w:r>
      <w:r>
        <w:t xml:space="preserve">.</w:t>
      </w:r>
    </w:p>
    <w:p>
      <w:pPr>
        <w:pStyle w:val="Heading2"/>
      </w:pPr>
      <w:r>
        <w:t xml:space="preserve">Technologies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1"/>
        <w:gridCol w:w="3576"/>
        <w:gridCol w:w="3793"/>
      </w:tblGrid>
      <w:tr>
        <w:trPr>
          <w:tblHeader/>
        </w:trPr>
        <w:tc>
          <w:tcPr>
            <w:tcW w:w="1991" w:type="dxa"/>
            <w:shd w:val="clear" w:color="auto" w:fill="F2F2F2"/>
          </w:tcPr>
          <w:p>
            <w:pPr/>
            <w:r>
              <w:t xml:space="preserve">Couche</w:t>
            </w:r>
          </w:p>
        </w:tc>
        <w:tc>
          <w:tcPr>
            <w:tcW w:w="3576" w:type="dxa"/>
            <w:shd w:val="clear" w:color="auto" w:fill="F2F2F2"/>
          </w:tcPr>
          <w:p>
            <w:pPr/>
            <w:r>
              <w:t xml:space="preserve">Technologies</w:t>
            </w:r>
          </w:p>
        </w:tc>
        <w:tc>
          <w:tcPr>
            <w:tcW w:w="3793" w:type="dxa"/>
            <w:shd w:val="clear" w:color="auto" w:fill="F2F2F2"/>
          </w:tcPr>
          <w:p>
            <w:pPr/>
            <w:r>
              <w:t xml:space="preserve">Rôle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Frontend</w:t>
            </w:r>
          </w:p>
        </w:tc>
        <w:tc>
          <w:tcPr>
            <w:tcW w:w="3576" w:type="dxa"/>
          </w:tcPr>
          <w:p>
            <w:pPr/>
            <w:r>
              <w:t xml:space="preserve">Angular 21, TypeScript, SCSS</w:t>
            </w:r>
          </w:p>
        </w:tc>
        <w:tc>
          <w:tcPr>
            <w:tcW w:w="3793" w:type="dxa"/>
          </w:tcPr>
          <w:p>
            <w:pPr/>
            <w:r>
              <w:t xml:space="preserve">Espace agriculteur et back-office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Backend</w:t>
            </w:r>
          </w:p>
        </w:tc>
        <w:tc>
          <w:tcPr>
            <w:tcW w:w="3576" w:type="dxa"/>
          </w:tcPr>
          <w:p>
            <w:pPr/>
            <w:r>
              <w:t xml:space="preserve">Spring Boot 4.1, Java 21, Spring Security, JWT</w:t>
            </w:r>
          </w:p>
        </w:tc>
        <w:tc>
          <w:tcPr>
            <w:tcW w:w="3793" w:type="dxa"/>
          </w:tcPr>
          <w:p>
            <w:pPr/>
            <w:r>
              <w:t xml:space="preserve">API REST, sécurité, appel des six modules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Base de données</w:t>
            </w:r>
          </w:p>
        </w:tc>
        <w:tc>
          <w:tcPr>
            <w:tcW w:w="3576" w:type="dxa"/>
          </w:tcPr>
          <w:p>
            <w:pPr/>
            <w:r>
              <w:t xml:space="preserve">PostgreSQL 17, Flyway</w:t>
            </w:r>
          </w:p>
        </w:tc>
        <w:tc>
          <w:tcPr>
            <w:tcW w:w="3793" w:type="dxa"/>
          </w:tcPr>
          <w:p>
            <w:pPr/>
            <w:r>
              <w:t xml:space="preserve">Comptes, parcelles, historique des prédictions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Services d’IA</w:t>
            </w:r>
          </w:p>
        </w:tc>
        <w:tc>
          <w:tcPr>
            <w:tcW w:w="3576" w:type="dxa"/>
          </w:tcPr>
          <w:p>
            <w:pPr/>
            <w:r>
              <w:t xml:space="preserve">Python, FastAPI</w:t>
            </w:r>
          </w:p>
        </w:tc>
        <w:tc>
          <w:tcPr>
            <w:tcW w:w="3793" w:type="dxa"/>
          </w:tcPr>
          <w:p>
            <w:pPr/>
            <w:r>
              <w:t xml:space="preserve">Un service par module, ports 8001 à 8006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Apprentissage</w:t>
            </w:r>
          </w:p>
        </w:tc>
        <w:tc>
          <w:tcPr>
            <w:tcW w:w="3576" w:type="dxa"/>
          </w:tcPr>
          <w:p>
            <w:pPr/>
            <w:r>
              <w:t xml:space="preserve">PyTorch 2.11, scikit-learn, statsmodels, Prophet, OpenCV, NumPy, pandas</w:t>
            </w:r>
          </w:p>
        </w:tc>
        <w:tc>
          <w:tcPr>
            <w:tcW w:w="3793" w:type="dxa"/>
          </w:tcPr>
          <w:p>
            <w:pPr/>
            <w:r>
              <w:t xml:space="preserve">Entraînement et prédiction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LLM</w:t>
            </w:r>
          </w:p>
        </w:tc>
        <w:tc>
          <w:tcPr>
            <w:tcW w:w="3576" w:type="dxa"/>
          </w:tcPr>
          <w:p>
            <w:pPr/>
            <w:r>
              <w:t xml:space="preserve">Gemini, Groq en secours</w:t>
            </w:r>
          </w:p>
        </w:tc>
        <w:tc>
          <w:tcPr>
            <w:tcW w:w="3793" w:type="dxa"/>
          </w:tcPr>
          <w:p>
            <w:pPr/>
            <w:r>
              <w:t xml:space="preserve">Rédaction des réponses en derja (M5)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Déploiement</w:t>
            </w:r>
          </w:p>
        </w:tc>
        <w:tc>
          <w:tcPr>
            <w:tcW w:w="3576" w:type="dxa"/>
          </w:tcPr>
          <w:p>
            <w:pPr/>
            <w:r>
              <w:t xml:space="preserve">Docker, Docker Compose</w:t>
            </w:r>
          </w:p>
        </w:tc>
        <w:tc>
          <w:tcPr>
            <w:tcW w:w="3793" w:type="dxa"/>
          </w:tcPr>
          <w:p>
            <w:pPr/>
            <w:r>
              <w:t xml:space="preserve">9 conteneurs lancés en une commande</w:t>
            </w:r>
          </w:p>
        </w:tc>
      </w:tr>
    </w:tbl>
    <w:p>
      <w:pPr>
        <w:pStyle w:val="Heading2"/>
      </w:pPr>
      <w:r>
        <w:t xml:space="preserve">Architecture</w:t>
      </w:r>
    </w:p>
    <w:p>
      <w:pPr/>
      <w:r>
        <w:t xml:space="preserve">L’application ne parle qu’au backend ; seul le backend lit la base et appelle les six services d’IA, chacun isolé dans son conteneur Docker.</w:t>
      </w:r>
    </w:p>
    <w:p>
      <w:pPr/>
      <w:r>
        <w:drawing>
          <wp:inline distT="0" distB="0" distL="0" distR="0">
            <wp:extent cx="5486400" cy="3575957"/>
            <wp:docPr id="1" name="image1" descr="architecture · frontend, backend, base, 6 services d’I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frontend, backend, base, 6 services d’IA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frontend, backend, base, 6 services d’IA</w:t>
      </w:r>
    </w:p>
    <w:p>
      <w:pPr/>
      <w:r>
        <w:t xml:space="preserve">Changer un modèle ne touche qu’un conteneur : le contrat d’API de chaque module reste le même.</w:t>
      </w:r>
    </w:p>
    <w:p>
      <w:pPr>
        <w:pStyle w:val="Heading2"/>
      </w:pPr>
      <w:r>
        <w:t xml:space="preserve">Données</w:t>
      </w:r>
    </w:p>
    <w:p>
      <w:pPr/>
      <w:r>
        <w:t xml:space="preserve">Toutes les données sont réelles et publiques ; les données brutes restent dans </w:t>
      </w:r>
      <w:r>
        <w:rPr>
          <w:rStyle w:val="CodeChar"/>
        </w:rPr>
        <w:t xml:space="preserve">data/raw/</w:t>
      </w:r>
      <w:r>
        <w:t xml:space="preserve"> (jamais modifiées) et les modèles dans </w:t>
      </w:r>
      <w:r>
        <w:rPr>
          <w:rStyle w:val="CodeChar"/>
        </w:rPr>
        <w:t xml:space="preserve">models/</w:t>
      </w:r>
      <w:r>
        <w:t xml:space="preserve">, hors Git.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5"/>
        <w:gridCol w:w="3196"/>
        <w:gridCol w:w="3604"/>
        <w:gridCol w:w="1565"/>
      </w:tblGrid>
      <w:tr>
        <w:trPr>
          <w:tblHeader/>
        </w:trPr>
        <w:tc>
          <w:tcPr>
            <w:tcW w:w="995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3196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3604" w:type="dxa"/>
            <w:shd w:val="clear" w:color="auto" w:fill="F2F2F2"/>
          </w:tcPr>
          <w:p>
            <w:pPr/>
            <w:r>
              <w:t xml:space="preserve">Contenu</w:t>
            </w:r>
          </w:p>
        </w:tc>
        <w:tc>
          <w:tcPr>
            <w:tcW w:w="1565" w:type="dxa"/>
            <w:shd w:val="clear" w:color="auto" w:fill="F2F2F2"/>
          </w:tcPr>
          <w:p>
            <w:pPr/>
            <w:r>
              <w:t xml:space="preserve">Période</w:t>
            </w:r>
          </w:p>
        </w:tc>
      </w:tr>
      <w:tr>
        <w:tc>
          <w:tcPr>
            <w:tcW w:w="995" w:type="dxa"/>
          </w:tcPr>
          <w:p>
            <w:pPr/>
            <w:r>
              <w:t xml:space="preserve">M1</w:t>
            </w:r>
          </w:p>
        </w:tc>
        <w:tc>
          <w:tcPr>
            <w:tcW w:w="3196" w:type="dxa"/>
          </w:tcPr>
          <w:p>
            <w:pPr/>
            <w:r>
              <w:t xml:space="preserve">Kaggle, Olive Leaf Image Dataset (Uğuz &amp; Uysal)</w:t>
            </w:r>
          </w:p>
        </w:tc>
        <w:tc>
          <w:tcPr>
            <w:tcW w:w="3604" w:type="dxa"/>
          </w:tcPr>
          <w:p>
            <w:pPr/>
            <w:r>
              <w:t xml:space="preserve">3 400 photos : saine, œil de paon, Aculus olearius</w:t>
            </w:r>
          </w:p>
        </w:tc>
        <w:tc>
          <w:tcPr>
            <w:tcW w:w="156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95" w:type="dxa"/>
          </w:tcPr>
          <w:p>
            <w:pPr/>
            <w:r>
              <w:t xml:space="preserve">M2</w:t>
            </w:r>
          </w:p>
        </w:tc>
        <w:tc>
          <w:tcPr>
            <w:tcW w:w="3196" w:type="dxa"/>
          </w:tcPr>
          <w:p>
            <w:pPr/>
            <w:r>
              <w:t xml:space="preserve">Open-Meteo, réanalyse ERA5 + prévisions</w:t>
            </w:r>
          </w:p>
        </w:tc>
        <w:tc>
          <w:tcPr>
            <w:tcW w:w="3604" w:type="dxa"/>
          </w:tcPr>
          <w:p>
            <w:pPr/>
            <w:r>
              <w:t xml:space="preserve">ET₀, pluie, Tmax, Tmin de 12 gouvernorats oléicoles</w:t>
            </w:r>
          </w:p>
        </w:tc>
        <w:tc>
          <w:tcPr>
            <w:tcW w:w="1565" w:type="dxa"/>
          </w:tcPr>
          <w:p>
            <w:pPr/>
            <w:r>
              <w:t xml:space="preserve">2014 → 2026</w:t>
            </w:r>
          </w:p>
        </w:tc>
      </w:tr>
      <w:tr>
        <w:tc>
          <w:tcPr>
            <w:tcW w:w="995" w:type="dxa"/>
          </w:tcPr>
          <w:p>
            <w:pPr/>
            <w:r>
              <w:t xml:space="preserve">M3</w:t>
            </w:r>
          </w:p>
        </w:tc>
        <w:tc>
          <w:tcPr>
            <w:tcW w:w="3196" w:type="dxa"/>
          </w:tcPr>
          <w:p>
            <w:pPr/>
            <w:r>
              <w:t xml:space="preserve">FAOSTAT (production, surface, rendement) + ERA5</w:t>
            </w:r>
          </w:p>
        </w:tc>
        <w:tc>
          <w:tcPr>
            <w:tcW w:w="3604" w:type="dxa"/>
          </w:tcPr>
          <w:p>
            <w:pPr/>
            <w:r>
              <w:t xml:space="preserve">Production d’olives de la Tunisie, météo saisonnière</w:t>
            </w:r>
          </w:p>
        </w:tc>
        <w:tc>
          <w:tcPr>
            <w:tcW w:w="1565" w:type="dxa"/>
          </w:tcPr>
          <w:p>
            <w:pPr/>
            <w:r>
              <w:t xml:space="preserve">1961 → 2024</w:t>
            </w:r>
          </w:p>
        </w:tc>
      </w:tr>
      <w:tr>
        <w:tc>
          <w:tcPr>
            <w:tcW w:w="995" w:type="dxa"/>
          </w:tcPr>
          <w:p>
            <w:pPr/>
            <w:r>
              <w:t xml:space="preserve">M4</w:t>
            </w:r>
          </w:p>
        </w:tc>
        <w:tc>
          <w:tcPr>
            <w:tcW w:w="3196" w:type="dxa"/>
          </w:tcPr>
          <w:p>
            <w:pPr/>
            <w:r>
              <w:t xml:space="preserve">FMI via FRED (POLVOILUSDM) + Banque mondiale</w:t>
            </w:r>
          </w:p>
        </w:tc>
        <w:tc>
          <w:tcPr>
            <w:tcW w:w="3604" w:type="dxa"/>
          </w:tcPr>
          <w:p>
            <w:pPr/>
            <w:r>
              <w:t xml:space="preserve">Prix mensuel de l’huile extra vierge, taux TND/USD</w:t>
            </w:r>
          </w:p>
        </w:tc>
        <w:tc>
          <w:tcPr>
            <w:tcW w:w="1565" w:type="dxa"/>
          </w:tcPr>
          <w:p>
            <w:pPr/>
            <w:r>
              <w:t xml:space="preserve">1992 → 2026</w:t>
            </w:r>
          </w:p>
        </w:tc>
      </w:tr>
      <w:tr>
        <w:tc>
          <w:tcPr>
            <w:tcW w:w="995" w:type="dxa"/>
          </w:tcPr>
          <w:p>
            <w:pPr/>
            <w:r>
              <w:t xml:space="preserve">M5</w:t>
            </w:r>
          </w:p>
        </w:tc>
        <w:tc>
          <w:tcPr>
            <w:tcW w:w="3196" w:type="dxa"/>
          </w:tcPr>
          <w:p>
            <w:pPr/>
            <w:r>
              <w:t xml:space="preserve">Questions écrites par l’équipe</w:t>
            </w:r>
          </w:p>
        </w:tc>
        <w:tc>
          <w:tcPr>
            <w:tcW w:w="3604" w:type="dxa"/>
          </w:tcPr>
          <w:p>
            <w:pPr/>
            <w:r>
              <w:t xml:space="preserve">500 questions annotées, 9 intentions, arabizi, arabe, français</w:t>
            </w:r>
          </w:p>
        </w:tc>
        <w:tc>
          <w:tcPr>
            <w:tcW w:w="156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95" w:type="dxa"/>
          </w:tcPr>
          <w:p>
            <w:pPr/>
            <w:r>
              <w:t xml:space="preserve">M6</w:t>
            </w:r>
          </w:p>
        </w:tc>
        <w:tc>
          <w:tcPr>
            <w:tcW w:w="3196" w:type="dxa"/>
          </w:tcPr>
          <w:p>
            <w:pPr/>
            <w:r>
              <w:t xml:space="preserve">Aucune donnée d’entraînement (méthode classique)</w:t>
            </w:r>
          </w:p>
        </w:tc>
        <w:tc>
          <w:tcPr>
            <w:tcW w:w="3604" w:type="dxa"/>
          </w:tcPr>
          <w:p>
            <w:pPr/>
            <w:r>
              <w:t xml:space="preserve">Images vues du ciel fournies par l’utilisateur</w:t>
            </w:r>
          </w:p>
        </w:tc>
        <w:tc>
          <w:tcPr>
            <w:tcW w:w="1565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Préparation commune : exploration (classes, valeurs manquantes), nettoyage, puis découpage. Images : 70 / 15 / 15 groupé par feuille d’origine, pour qu’aucune variante d’une même feuille ne passe de l’entraînement au test. Séries temporelles : découpage chronologique, jamais mélangé.</w:t>
      </w:r>
    </w:p>
    <w:p>
      <w:pPr>
        <w:pStyle w:val="Heading2"/>
      </w:pPr>
      <w:r>
        <w:t xml:space="preserve">Tableau comparatif des modèles</w:t>
      </w:r>
    </w:p>
    <w:p>
      <w:pPr/>
      <w:r>
        <w:t xml:space="preserve">Chaque modèle servi bat sa référence simple sur des données de test jamais vues pendant l’entraînement.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4"/>
        <w:gridCol w:w="2419"/>
        <w:gridCol w:w="1743"/>
        <w:gridCol w:w="1760"/>
        <w:gridCol w:w="1764"/>
      </w:tblGrid>
      <w:tr>
        <w:trPr>
          <w:tblHeader/>
        </w:trPr>
        <w:tc>
          <w:tcPr>
            <w:tcW w:w="1674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2419" w:type="dxa"/>
            <w:shd w:val="clear" w:color="auto" w:fill="F2F2F2"/>
          </w:tcPr>
          <w:p>
            <w:pPr/>
            <w:r>
              <w:t xml:space="preserve">Métrique (test)</w:t>
            </w:r>
          </w:p>
        </w:tc>
        <w:tc>
          <w:tcPr>
            <w:tcW w:w="1743" w:type="dxa"/>
            <w:shd w:val="clear" w:color="auto" w:fill="F2F2F2"/>
          </w:tcPr>
          <w:p>
            <w:pPr/>
            <w:r>
              <w:t xml:space="preserve">Référence simple</w:t>
            </w:r>
          </w:p>
        </w:tc>
        <w:tc>
          <w:tcPr>
            <w:tcW w:w="1760" w:type="dxa"/>
            <w:shd w:val="clear" w:color="auto" w:fill="F2F2F2"/>
          </w:tcPr>
          <w:p>
            <w:pPr/>
            <w:r>
              <w:t xml:space="preserve">Modèle servi</w:t>
            </w:r>
          </w:p>
        </w:tc>
        <w:tc>
          <w:tcPr>
            <w:tcW w:w="1764" w:type="dxa"/>
            <w:shd w:val="clear" w:color="auto" w:fill="F2F2F2"/>
          </w:tcPr>
          <w:p>
            <w:pPr/>
            <w:r>
              <w:t xml:space="preserve">Gain</w:t>
            </w:r>
          </w:p>
        </w:tc>
      </w:tr>
      <w:tr>
        <w:tc>
          <w:tcPr>
            <w:tcW w:w="1674" w:type="dxa"/>
          </w:tcPr>
          <w:p>
            <w:pPr/>
            <w:r>
              <w:t xml:space="preserve">M1 Maladies</w:t>
            </w:r>
          </w:p>
        </w:tc>
        <w:tc>
          <w:tcPr>
            <w:tcW w:w="2419" w:type="dxa"/>
          </w:tcPr>
          <w:p>
            <w:pPr/>
            <w:r>
              <w:t xml:space="preserve">Précision / F1 macro (508 photos)</w:t>
            </w:r>
          </w:p>
        </w:tc>
        <w:tc>
          <w:tcPr>
            <w:tcW w:w="1743" w:type="dxa"/>
          </w:tcPr>
          <w:p>
            <w:pPr/>
            <w:r>
              <w:t xml:space="preserve">Petit CNN : 75,2 % / 0,741</w:t>
            </w:r>
          </w:p>
        </w:tc>
        <w:tc>
          <w:tcPr>
            <w:tcW w:w="1760" w:type="dxa"/>
          </w:tcPr>
          <w:p>
            <w:pPr/>
            <w:r>
              <w:t xml:space="preserve">MobileNetV3 : 97,1 % / 0,969</w:t>
            </w:r>
          </w:p>
        </w:tc>
        <w:tc>
          <w:tcPr>
            <w:tcW w:w="1764" w:type="dxa"/>
          </w:tcPr>
          <w:p>
            <w:pPr/>
            <w:r>
              <w:t xml:space="preserve">+21,9 points</w:t>
            </w:r>
          </w:p>
        </w:tc>
      </w:tr>
      <w:tr>
        <w:tc>
          <w:tcPr>
            <w:tcW w:w="1674" w:type="dxa"/>
          </w:tcPr>
          <w:p>
            <w:pPr/>
            <w:r>
              <w:t xml:space="preserve">M2 Irrigation</w:t>
            </w:r>
          </w:p>
        </w:tc>
        <w:tc>
          <w:tcPr>
            <w:tcW w:w="2419" w:type="dxa"/>
          </w:tcPr>
          <w:p>
            <w:pPr/>
            <w:r>
              <w:t xml:space="preserve">MAE de l’ET₀ (2023 → 2026)</w:t>
            </w:r>
          </w:p>
        </w:tc>
        <w:tc>
          <w:tcPr>
            <w:tcW w:w="1743" w:type="dxa"/>
          </w:tcPr>
          <w:p>
            <w:pPr/>
            <w:r>
              <w:t xml:space="preserve">Même jour l’an dernier : 1,06 mm/j</w:t>
            </w:r>
          </w:p>
        </w:tc>
        <w:tc>
          <w:tcPr>
            <w:tcW w:w="1760" w:type="dxa"/>
          </w:tcPr>
          <w:p>
            <w:pPr/>
            <w:r>
              <w:t xml:space="preserve">LSTM : 0,71 mm/j</w:t>
            </w:r>
          </w:p>
        </w:tc>
        <w:tc>
          <w:tcPr>
            <w:tcW w:w="1764" w:type="dxa"/>
          </w:tcPr>
          <w:p>
            <w:pPr/>
            <w:r>
              <w:t xml:space="preserve">−33 % d’erreur</w:t>
            </w:r>
          </w:p>
        </w:tc>
      </w:tr>
      <w:tr>
        <w:tc>
          <w:tcPr>
            <w:tcW w:w="1674" w:type="dxa"/>
          </w:tcPr>
          <w:p>
            <w:pPr/>
            <w:r>
              <w:t xml:space="preserve">M3 Récolte</w:t>
            </w:r>
          </w:p>
        </w:tc>
        <w:tc>
          <w:tcPr>
            <w:tcW w:w="2419" w:type="dxa"/>
          </w:tcPr>
          <w:p>
            <w:pPr/>
            <w:r>
              <w:t xml:space="preserve">MAPE de la production (2005 → 2024)</w:t>
            </w:r>
          </w:p>
        </w:tc>
        <w:tc>
          <w:tcPr>
            <w:tcW w:w="1743" w:type="dxa"/>
          </w:tcPr>
          <w:p>
            <w:pPr/>
            <w:r>
              <w:t xml:space="preserve">Régression linéaire : 55,7 %</w:t>
            </w:r>
          </w:p>
        </w:tc>
        <w:tc>
          <w:tcPr>
            <w:tcW w:w="1760" w:type="dxa"/>
          </w:tcPr>
          <w:p>
            <w:pPr/>
            <w:r>
              <w:t xml:space="preserve">Random Forest : 40,6 %</w:t>
            </w:r>
          </w:p>
        </w:tc>
        <w:tc>
          <w:tcPr>
            <w:tcW w:w="1764" w:type="dxa"/>
          </w:tcPr>
          <w:p>
            <w:pPr/>
            <w:r>
              <w:t xml:space="preserve">−27 % d’erreur</w:t>
            </w:r>
          </w:p>
        </w:tc>
      </w:tr>
      <w:tr>
        <w:tc>
          <w:tcPr>
            <w:tcW w:w="1674" w:type="dxa"/>
          </w:tcPr>
          <w:p>
            <w:pPr/>
            <w:r>
              <w:t xml:space="preserve">M4 Prix</w:t>
            </w:r>
          </w:p>
        </w:tc>
        <w:tc>
          <w:tcPr>
            <w:tcW w:w="2419" w:type="dxa"/>
          </w:tcPr>
          <w:p>
            <w:pPr/>
            <w:r>
              <w:t xml:space="preserve">MAPE du prix (2021 → 2026)</w:t>
            </w:r>
          </w:p>
        </w:tc>
        <w:tc>
          <w:tcPr>
            <w:tcW w:w="1743" w:type="dxa"/>
          </w:tcPr>
          <w:p>
            <w:pPr/>
            <w:r>
              <w:t xml:space="preserve">Naïf : 11,7 %</w:t>
            </w:r>
          </w:p>
        </w:tc>
        <w:tc>
          <w:tcPr>
            <w:tcW w:w="1760" w:type="dxa"/>
          </w:tcPr>
          <w:p>
            <w:pPr/>
            <w:r>
              <w:t xml:space="preserve">SARIMA : 11,3 %</w:t>
            </w:r>
          </w:p>
        </w:tc>
        <w:tc>
          <w:tcPr>
            <w:tcW w:w="1764" w:type="dxa"/>
          </w:tcPr>
          <w:p>
            <w:pPr/>
            <w:r>
              <w:t xml:space="preserve">−3 % d’erreur ; conseil +0,10 TND/kg</w:t>
            </w:r>
          </w:p>
        </w:tc>
      </w:tr>
      <w:tr>
        <w:tc>
          <w:tcPr>
            <w:tcW w:w="1674" w:type="dxa"/>
          </w:tcPr>
          <w:p>
            <w:pPr/>
            <w:r>
              <w:t xml:space="preserve">M5 Assistant</w:t>
            </w:r>
          </w:p>
        </w:tc>
        <w:tc>
          <w:tcPr>
            <w:tcW w:w="2419" w:type="dxa"/>
          </w:tcPr>
          <w:p>
            <w:pPr/>
            <w:r>
              <w:t xml:space="preserve">F1 macro (validation croisée)</w:t>
            </w:r>
          </w:p>
        </w:tc>
        <w:tc>
          <w:tcPr>
            <w:tcW w:w="1743" w:type="dxa"/>
          </w:tcPr>
          <w:p>
            <w:pPr/>
            <w:r>
              <w:t xml:space="preserve">TF-IDF mots : 0,72</w:t>
            </w:r>
          </w:p>
        </w:tc>
        <w:tc>
          <w:tcPr>
            <w:tcW w:w="1760" w:type="dxa"/>
          </w:tcPr>
          <w:p>
            <w:pPr/>
            <w:r>
              <w:t xml:space="preserve">TF-IDF caractères : 0,75</w:t>
            </w:r>
          </w:p>
        </w:tc>
        <w:tc>
          <w:tcPr>
            <w:tcW w:w="1764" w:type="dxa"/>
          </w:tcPr>
          <w:p>
            <w:pPr/>
            <w:r>
              <w:t xml:space="preserve">+3 points ; 19/25 au test indépendant</w:t>
            </w:r>
          </w:p>
        </w:tc>
      </w:tr>
      <w:tr>
        <w:tc>
          <w:tcPr>
            <w:tcW w:w="1674" w:type="dxa"/>
          </w:tcPr>
          <w:p>
            <w:pPr/>
            <w:r>
              <w:t xml:space="preserve">M6 Comptage</w:t>
            </w:r>
          </w:p>
        </w:tc>
        <w:tc>
          <w:tcPr>
            <w:tcW w:w="2419" w:type="dxa"/>
          </w:tcPr>
          <w:p>
            <w:pPr/>
            <w:r>
              <w:t xml:space="preserve">Erreur de comptage (vergers test)</w:t>
            </w:r>
          </w:p>
        </w:tc>
        <w:tc>
          <w:tcPr>
            <w:tcW w:w="1743" w:type="dxa"/>
          </w:tcPr>
          <w:p>
            <w:pPr/>
            <w:r>
              <w:t xml:space="preserve">—</w:t>
            </w:r>
          </w:p>
        </w:tc>
        <w:tc>
          <w:tcPr>
            <w:tcW w:w="1760" w:type="dxa"/>
          </w:tcPr>
          <w:p>
            <w:pPr/>
            <w:r>
              <w:t xml:space="preserve">OpenCV : ≤ 5 %</w:t>
            </w:r>
          </w:p>
        </w:tc>
        <w:tc>
          <w:tcPr>
            <w:tcW w:w="1764" w:type="dxa"/>
          </w:tcPr>
          <w:p>
            <w:pPr/>
            <w:r>
              <w:t xml:space="preserve">52 arbres trouvés sur 52</w:t>
            </w:r>
          </w:p>
        </w:tc>
      </w:tr>
    </w:tbl>
    <w:p>
      <w:pPr>
        <w:pStyle w:val="Heading2"/>
      </w:pPr>
      <w:r>
        <w:t xml:space="preserve">M1 · Maladies des feuilles</w:t>
      </w:r>
    </w:p>
    <w:p>
      <w:pPr/>
      <w:r>
        <w:t xml:space="preserve">MobileNetV3 reconnaît la maladie avec 97,1 % de précision sur 508 photos de test, contre 75,2 % pour un petit CNN.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Données</w:t>
      </w:r>
      <w:r>
        <w:t xml:space="preserve"> : 3 400 photos, découpées en 2 380 / 512 / 508 (entraînement / validation / test), groupées par feuille d’origine.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Référence</w:t>
      </w:r>
      <w:r>
        <w:t xml:space="preserve"> : petit CNN de 3 blocs de convolution, entraîné de zéro.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Modèle</w:t>
      </w:r>
      <w:r>
        <w:t xml:space="preserve"> : MobileNetV3-Large préentraîné sur ImageNet, affiné en 2 phases (tête seule, puis réseau complet), augmentations « photo prise au champ », pondération des classes.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Résultats par classe (F1)</w:t>
      </w:r>
      <w:r>
        <w:t xml:space="preserve"> : saine 0,964, œil de paon 0,977, Aculus olearius 0,967.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Fiabilité</w:t>
      </w:r>
      <w:r>
        <w:t xml:space="preserve"> : calibration par température (T = 0,49), l’erreur de calibration passe de 0,045 à 0,020. Sous 70 % de confiance, aucun diagnostic n’est donné et l’application demande de reprendre la photo : 15 photos sur 508 sont refusées, et la précision monte à 98,2 % sur les photos acceptées.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Explication</w:t>
      </w:r>
      <w:r>
        <w:t xml:space="preserve"> : une carte Grad-CAM montre la zone de la feuille utilisée pour décider.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Service</w:t>
      </w:r>
      <w:r>
        <w:t xml:space="preserve"> : TorchScript chargé par FastAPI, avec la même version de torch (2.11) qu’à l’entraînement.</w:t>
      </w:r>
    </w:p>
    <w:p>
      <w:pPr>
        <w:pStyle w:val="Heading2"/>
      </w:pPr>
      <w:r>
        <w:t xml:space="preserve">M2 · Irrigation et alertes météo</w:t>
      </w:r>
    </w:p>
    <w:p>
      <w:pPr/>
      <w:r>
        <w:t xml:space="preserve">Un LSTM prévoit l’évapotranspiration ET₀ avec 0,71 mm/j d’erreur, soit 33 % de moins que la référence « même jour l’an dernier ».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Données</w:t>
      </w:r>
      <w:r>
        <w:t xml:space="preserve"> : ERA5 journalier de 12 gouvernorats, 2014 → 2026. Entraînement 2014–2021, validation 2022, test 2023 → 2026 (16 356 prévisions).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Modèles comparés</w:t>
      </w:r>
      <w:r>
        <w:t xml:space="preserve"> (MAE de l’ET₀, horizons 1 à 7 jours) : même jour l’an dernier 1,06 mm/j ; persistance 7 jours 0,80 ; LSTM 0,71. Sur les dates où Prophet a aussi été évalué : Prophet 0,666, LSTM 0,657.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Modèle servi</w:t>
      </w:r>
      <w:r>
        <w:t xml:space="preserve"> : LSTM global (30 jours de météo → ET₀ des 16 jours suivants), exécuté en NumPy dans le service (écart avec PyTorch : 1,6 × 10⁻⁶ mm/j).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Besoin en eau</w:t>
      </w:r>
      <w:r>
        <w:t xml:space="preserve"> : formule FAO-56, besoin = ET₀ × 0,65 − 0,8 × pluie ; irrigation conseillée au-dessus de 2 mm ; litres par arbre selon la surface et le nombre d’arbres.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Alertes</w:t>
      </w:r>
      <w:r>
        <w:t xml:space="preserve"> : gel si Tmin ≤ 0 °C, canicule si Tmax ≥ 40 °C, d’après les prévisions Open-Meteo du jour.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Contrôle réel</w:t>
      </w:r>
      <w:r>
        <w:t xml:space="preserve"> : le 17/10/2026 à Sfax, ET₀ du LSTM de 3,3 à 3,7 mm/j, contre 3,0 à 3,4 mm/j pour la prévision numérique d’Open-Meteo.</w:t>
      </w:r>
    </w:p>
    <w:p>
      <w:pPr>
        <w:pStyle w:val="Heading2"/>
      </w:pPr>
      <w:r>
        <w:t xml:space="preserve">M3 · Prévision du rendement</w:t>
      </w:r>
    </w:p>
    <w:p>
      <w:pPr/>
      <w:r>
        <w:t xml:space="preserve">Un Random Forest prévoit la production nationale d’olives avec 40,6 % d’erreur, contre 55,7 % pour la régression linéaire du plan.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Plan B</w:t>
      </w:r>
      <w:r>
        <w:t xml:space="preserve"> : les productions par gouvernorat (rapports ONAGRI en PDF) ne sont pas ouvertes ; le modèle prévoit donc la production de la Tunisie, comme le prévoit le plan de projet en cas de blocage.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Variables</w:t>
      </w:r>
      <w:r>
        <w:t xml:space="preserve"> : production des deux saisons précédentes (alternance des bonnes et mauvaises années), tendance, pluie de septembre à mai, pluie d’été, jours à 35 °C ou plus en avril-mai (floraison), Tmax moyenne de l’été.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Validation</w:t>
      </w:r>
      <w:r>
        <w:t xml:space="preserve"> : chronologique glissante, 2005 → 2024 ; chaque saison est prévue par un modèle entraîné sur les seules saisons précédentes.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Résultats (MAPE)</w:t>
      </w:r>
      <w:r>
        <w:t xml:space="preserve"> : comme la saison précédente 60,7 % ; régression linéaire 55,7 % ; Ridge 52,3 % ; Gradient Boosting 46,0 % ; Random Forest 40,6 %.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Pourquoi l’erreur reste forte</w:t>
      </w:r>
      <w:r>
        <w:t xml:space="preserve"> : la production varie de 0,7 Mt (2021) à 2,0 Mt (2020) d’une année à l’autre.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Parcelle</w:t>
      </w:r>
      <w:r>
        <w:t xml:space="preserve"> : rendement national par hectare × surface de la parcelle ; fourchette tirée des vraies erreurs du test (−53 % à +90 %). Une saison déjà publiée par la FAO renvoie le chiffre réel.</w:t>
      </w:r>
    </w:p>
    <w:p>
      <w:pPr>
        <w:pStyle w:val="Heading2"/>
      </w:pPr>
      <w:r>
        <w:t xml:space="preserve">M4 · Prix et moment de vente</w:t>
      </w:r>
    </w:p>
    <w:p>
      <w:pPr/>
      <w:r>
        <w:t xml:space="preserve">SARIMA prévoit le prix de l’huile avec 11,3 % d’erreur, et le conseil « stocker », avec une marge de prudence de 4 %, rapporte +0,10 TND/kg en moyenne.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Données</w:t>
      </w:r>
      <w:r>
        <w:t xml:space="preserve"> : prix mondial mensuel de l’huile extra vierge (FMI), converti en TND/kg avec le taux de change annuel de la Banque mondiale, 1992 → juillet 2026. Entraînement jusqu’à 2016, validation 2017–2020, test 2021 → 2026.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Modèles comparés (MAPE moyenne, horizons 1 à 6 mois)</w:t>
      </w:r>
      <w:r>
        <w:t xml:space="preserve"> : naïf 11,73 % ; LSTM 11,77 % ; SARIMA (0,1,1)(1,0,1)₁₂ 11,33 %. L’intervalle à 80 % contient la vraie valeur dans 80 à 91 % des cas.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Conseil</w:t>
      </w:r>
      <w:r>
        <w:t xml:space="preserve"> : stocker seulement si le prix prévu, moins 0,15 TND/kg par mois de stockage, dépasse le prix du jour de plus de la marge.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Stratégie (61 décisions de test)</w:t>
      </w:r>
      <w:r>
        <w:t xml:space="preserve"> : sans marge, gain moyen −0,47 TND/kg ; avec la marge de 4 %, choisie sur la validation, +0,10 TND/kg et 9 conseils « stocker » sur 10 gagnants.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Limite</w:t>
      </w:r>
      <w:r>
        <w:t xml:space="preserve"> : prix mondial de référence, plus élevé que le prix au producteur tunisien ; le pipeline utilise les prix COI tunisiens dès qu’ils sont saisis.</w:t>
      </w:r>
    </w:p>
    <w:p>
      <w:pPr>
        <w:pStyle w:val="Heading2"/>
      </w:pPr>
      <w:r>
        <w:t xml:space="preserve">M5 · Assistant en derja</w:t>
      </w:r>
    </w:p>
    <w:p>
      <w:pPr/>
      <w:r>
        <w:t xml:space="preserve">Le classifieur d’intentions atteint un F1 macro de 0,75 et route 19 questions sur 25 vers le bon module dans un test indépendant ; un LLM rédige ensuite la réponse en derja.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Données</w:t>
      </w:r>
      <w:r>
        <w:t xml:space="preserve"> : 500 questions écrites par l’équipe, 9 intentions (maladie, irrigation, météo, récolte, prix, comptage, conseil général, salutation, hors sujet), en arabizi, en arabe et en français. Le test indépendant (25 questions) n’a aucun recouvrement avec l’entraînement.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Résultats (F1 macro en validation croisée 5 plis)</w:t>
      </w:r>
      <w:r>
        <w:t xml:space="preserve"> : TF-IDF mots + régression logistique 0,72 (16/25) ; TF-IDF caractères 0,75 (19/25) ; mots + caractères 0,75 (18/25).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Pourquoi les caractères</w:t>
      </w:r>
      <w:r>
        <w:t xml:space="preserve"> : ils absorbent les orthographes variables de l’arabizi (9adech, zitoun, zitouni).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Clarification</w:t>
      </w:r>
      <w:r>
        <w:t xml:space="preserve"> : sous 0,35 de confiance, l’assistant pose une question au lieu de deviner (environ 3 questions sur 4 obtiennent une réponse directe, à au moins 85 % de justesse) ; il ne répond jamais « hors sujet » à une question qui parle d’olives.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Réponse</w:t>
      </w:r>
      <w:r>
        <w:t xml:space="preserve"> : le backend appelle le module concerné (M2, M3, M4…) ; Gemini, avec Groq en secours, rédige la réponse en derja à partir de ces chiffres, sans en inventer. Sans LLM, des phrases modèles prennent le relais.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Limite</w:t>
      </w:r>
      <w:r>
        <w:t xml:space="preserve"> : un modèle de type BERT (SetFit) reste possible ; il demande un téléchargement d’environ 1 Go et un GPU.</w:t>
      </w:r>
    </w:p>
    <w:p>
      <w:pPr>
        <w:pStyle w:val="Heading2"/>
      </w:pPr>
      <w:r>
        <w:t xml:space="preserve">M6 · Comptage des oliviers</w:t>
      </w:r>
    </w:p>
    <w:p>
      <w:pPr/>
      <w:r>
        <w:t xml:space="preserve">Le détecteur OpenCV compte les arbres avec moins de 5 % d’erreur sur des vergers de test, couronnes collées comprises.</w:t>
      </w:r>
    </w:p>
    <w:p>
      <w:pPr>
        <w:pStyle w:val="ListParagraph"/>
        <w:numPr>
          <w:ilvl w:val="0"/>
          <w:numId w:val="10"/>
        </w:numPr>
      </w:pPr>
      <w:r>
        <w:t xml:space="preserve">Score de végétation par pixel : vert en excès (2G − R − B) et assombrissement (les couronnes sont plus sombres que le sol).</w:t>
      </w:r>
    </w:p>
    <w:p>
      <w:pPr>
        <w:pStyle w:val="ListParagraph"/>
        <w:numPr>
          <w:ilvl w:val="0"/>
          <w:numId w:val="10"/>
        </w:numPr>
      </w:pPr>
      <w:r>
        <w:t xml:space="preserve">Seuil d’Otsu, puis ouverture et fermeture morphologiques.</w:t>
      </w:r>
    </w:p>
    <w:p>
      <w:pPr>
        <w:pStyle w:val="ListParagraph"/>
        <w:numPr>
          <w:ilvl w:val="0"/>
          <w:numId w:val="10"/>
        </w:numPr>
      </w:pPr>
      <w:r>
        <w:t xml:space="preserve">Rayon typique d’une couronne = rayon médian des taches isolées.</w:t>
      </w:r>
    </w:p>
    <w:p>
      <w:pPr>
        <w:pStyle w:val="ListParagraph"/>
        <w:numPr>
          <w:ilvl w:val="0"/>
          <w:numId w:val="10"/>
        </w:numPr>
      </w:pPr>
      <w:r>
        <w:t xml:space="preserve">Transformée de distance et maxima locaux espacés d’au moins un rayon : un arbre par maximum, ce qui sépare les couronnes qui se touchent.</w:t>
      </w:r>
    </w:p>
    <w:p>
      <w:pPr/>
      <w:r>
        <w:rPr>
          <w:b/>
        </w:rPr>
        <w:t xml:space="preserve">Évaluation</w:t>
      </w:r>
      <w:r>
        <w:t xml:space="preserve"> : vergers synthétiques à nombre d’arbres connu (arbres séparés : erreur ≤ 5 % ; couronnes collées : ≤ 10 % ; sol nu : zéro arbre). Le service en ligne trouve 52 arbres sur 52 sur un verger test de 52 arbres. Le nombre d’arbres alimente le plan de récolte (M6 → M3 → M4).</w:t>
      </w:r>
    </w:p>
    <w:p>
      <w:pPr/>
      <w:r>
        <w:rPr>
          <w:b/>
        </w:rPr>
        <w:t xml:space="preserve">Suite prévue</w:t>
      </w:r>
      <w:r>
        <w:t xml:space="preserve"> : YOLOv8 entraîné sur OliveTreeCrownsDb et comparé à cette méthode en mAP@0.5 ; le service l’utilisera automatiquement dès que ses poids existent.</w:t>
      </w:r>
    </w:p>
    <w:p>
      <w:pPr>
        <w:pStyle w:val="Heading2"/>
      </w:pPr>
      <w:r>
        <w:t xml:space="preserve">L’application</w:t>
      </w:r>
    </w:p>
    <w:p>
      <w:pPr/>
      <w:r>
        <w:t xml:space="preserve">Un même écran de connexion mène l’agriculteur à son espace et l’unique administrateur au back-office.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6"/>
        <w:gridCol w:w="2654"/>
        <w:gridCol w:w="4920"/>
      </w:tblGrid>
      <w:tr>
        <w:trPr>
          <w:tblHeader/>
        </w:trPr>
        <w:tc>
          <w:tcPr>
            <w:tcW w:w="1786" w:type="dxa"/>
            <w:shd w:val="clear" w:color="auto" w:fill="F2F2F2"/>
          </w:tcPr>
          <w:p>
            <w:pPr/>
            <w:r>
              <w:t xml:space="preserve">Espace</w:t>
            </w:r>
          </w:p>
        </w:tc>
        <w:tc>
          <w:tcPr>
            <w:tcW w:w="2654" w:type="dxa"/>
            <w:shd w:val="clear" w:color="auto" w:fill="F2F2F2"/>
          </w:tcPr>
          <w:p>
            <w:pPr/>
            <w:r>
              <w:t xml:space="preserve">Pages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Ce qu’on y fait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Agriculteur</w:t>
            </w:r>
          </w:p>
        </w:tc>
        <w:tc>
          <w:tcPr>
            <w:tcW w:w="2654" w:type="dxa"/>
          </w:tcPr>
          <w:p>
            <w:pPr/>
            <w:r>
              <w:t xml:space="preserve">Accueil</w:t>
            </w:r>
          </w:p>
        </w:tc>
        <w:tc>
          <w:tcPr>
            <w:tcW w:w="4920" w:type="dxa"/>
          </w:tcPr>
          <w:p>
            <w:pPr/>
            <w:r>
              <w:t xml:space="preserve">Résumé de l’exploitation, accès aux 6 outils, activité récente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Agriculteur</w:t>
            </w:r>
          </w:p>
        </w:tc>
        <w:tc>
          <w:tcPr>
            <w:tcW w:w="2654" w:type="dxa"/>
          </w:tcPr>
          <w:p>
            <w:pPr/>
            <w:r>
              <w:t xml:space="preserve">Parcelles</w:t>
            </w:r>
          </w:p>
        </w:tc>
        <w:tc>
          <w:tcPr>
            <w:tcW w:w="4920" w:type="dxa"/>
          </w:tcPr>
          <w:p>
            <w:pPr/>
            <w:r>
              <w:t xml:space="preserve">Ajout de parcelles ; par parcelle : irrigation (M2), récolte (M3), comptage (M6), plan de récolte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Agriculteur</w:t>
            </w:r>
          </w:p>
        </w:tc>
        <w:tc>
          <w:tcPr>
            <w:tcW w:w="2654" w:type="dxa"/>
          </w:tcPr>
          <w:p>
            <w:pPr/>
            <w:r>
              <w:t xml:space="preserve">Diagnostic, Prix, Assistant</w:t>
            </w:r>
          </w:p>
        </w:tc>
        <w:tc>
          <w:tcPr>
            <w:tcW w:w="4920" w:type="dxa"/>
          </w:tcPr>
          <w:p>
            <w:pPr/>
            <w:r>
              <w:t xml:space="preserve">Photo de feuille (M1), conseil de vente (M4), questions en derja (M5)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Agriculteur</w:t>
            </w:r>
          </w:p>
        </w:tc>
        <w:tc>
          <w:tcPr>
            <w:tcW w:w="2654" w:type="dxa"/>
          </w:tcPr>
          <w:p>
            <w:pPr/>
            <w:r>
              <w:t xml:space="preserve">Historique</w:t>
            </w:r>
          </w:p>
        </w:tc>
        <w:tc>
          <w:tcPr>
            <w:tcW w:w="4920" w:type="dxa"/>
          </w:tcPr>
          <w:p>
            <w:pPr/>
            <w:r>
              <w:t xml:space="preserve">Toutes ses prédictions, enregistrées en base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Administrateur</w:t>
            </w:r>
          </w:p>
        </w:tc>
        <w:tc>
          <w:tcPr>
            <w:tcW w:w="2654" w:type="dxa"/>
          </w:tcPr>
          <w:p>
            <w:pPr/>
            <w:r>
              <w:t xml:space="preserve">Tableau de bord</w:t>
            </w:r>
          </w:p>
        </w:tc>
        <w:tc>
          <w:tcPr>
            <w:tcW w:w="4920" w:type="dxa"/>
          </w:tcPr>
          <w:p>
            <w:pPr/>
            <w:r>
              <w:t xml:space="preserve">Utilisateurs, parcelles, oliviers, activité sur 30 jours, état des 6 modèles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Administrateur</w:t>
            </w:r>
          </w:p>
        </w:tc>
        <w:tc>
          <w:tcPr>
            <w:tcW w:w="2654" w:type="dxa"/>
          </w:tcPr>
          <w:p>
            <w:pPr/>
            <w:r>
              <w:t xml:space="preserve">Utilisateurs, Parcelles, Prédictions</w:t>
            </w:r>
          </w:p>
        </w:tc>
        <w:tc>
          <w:tcPr>
            <w:tcW w:w="4920" w:type="dxa"/>
          </w:tcPr>
          <w:p>
            <w:pPr/>
            <w:r>
              <w:t xml:space="preserve">Recherche, suppression des comptes agriculteurs et des parcelles, détail des appels aux modèles</w:t>
            </w:r>
          </w:p>
        </w:tc>
      </w:tr>
    </w:tbl>
    <w:p>
      <w:pPr>
        <w:pStyle w:val="ListParagraph"/>
        <w:numPr>
          <w:ilvl w:val="0"/>
          <w:numId w:val="11"/>
        </w:numPr>
      </w:pPr>
      <w:r>
        <w:rPr>
          <w:b/>
        </w:rPr>
        <w:t xml:space="preserve">Sécurité</w:t>
      </w:r>
      <w:r>
        <w:t xml:space="preserve"> : jeton JWT (HS256) à chaque requête ; routes </w:t>
      </w:r>
      <w:r>
        <w:rPr>
          <w:rStyle w:val="CodeChar"/>
        </w:rPr>
        <w:t xml:space="preserve">/api/admin/**</w:t>
      </w:r>
      <w:r>
        <w:t xml:space="preserve"> réservées au rôle ADMIN (refus 403 sinon) ; un seul compte administrateur, défini dans la configuration et vérifié à chaque démarrage ; toute inscription crée un agriculteur.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Backend</w:t>
      </w:r>
      <w:r>
        <w:t xml:space="preserve"> : Spring Boot 4, Java 21, PostgreSQL et Flyway ; chaque appel d’IA est enregistré dans l’historique ; page d’état publique sur le port 8080 (backend, base, modules).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Frontend</w:t>
      </w:r>
      <w:r>
        <w:t xml:space="preserve"> : Angular 21, barre latérale par rubriques, palette olive et or, formats français (dates, nombres).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Déploiement</w:t>
      </w:r>
      <w:r>
        <w:t xml:space="preserve"> : Docker Compose, 9 conteneurs (base, backend, frontend, 6 services d’IA), lancés par </w:t>
      </w:r>
      <w:r>
        <w:rPr>
          <w:rStyle w:val="CodeChar"/>
        </w:rPr>
        <w:t xml:space="preserve">docker compose up -d</w:t>
      </w:r>
      <w:r>
        <w:t xml:space="preserve">.</w:t>
      </w:r>
    </w:p>
    <w:p>
      <w:pPr>
        <w:pStyle w:val="Heading2"/>
      </w:pPr>
      <w:r>
        <w:t xml:space="preserve">Lancer l’application</w:t>
      </w:r>
    </w:p>
    <w:p>
      <w:pPr/>
      <w:r>
        <w:t xml:space="preserve">L’application tourne sur un seul PC équipé de Docker Desktop.</w:t>
      </w:r>
    </w:p>
    <w:p>
      <w:pPr>
        <w:pStyle w:val="ListParagraph"/>
        <w:numPr>
          <w:ilvl w:val="0"/>
          <w:numId w:val="12"/>
        </w:numPr>
      </w:pPr>
      <w:r>
        <w:t xml:space="preserve">Copier </w:t>
      </w:r>
      <w:r>
        <w:rPr>
          <w:rStyle w:val="CodeChar"/>
        </w:rPr>
        <w:t xml:space="preserve">.env.example</w:t>
      </w:r>
      <w:r>
        <w:t xml:space="preserve"> en </w:t>
      </w:r>
      <w:r>
        <w:rPr>
          <w:rStyle w:val="CodeChar"/>
        </w:rPr>
        <w:t xml:space="preserve">.env</w:t>
      </w:r>
      <w:r>
        <w:t xml:space="preserve">, puis remplir </w:t>
      </w:r>
      <w:r>
        <w:rPr>
          <w:rStyle w:val="CodeChar"/>
        </w:rPr>
        <w:t xml:space="preserve">JWT_SECRET</w:t>
      </w:r>
      <w:r>
        <w:t xml:space="preserve">, </w:t>
      </w:r>
      <w:r>
        <w:rPr>
          <w:rStyle w:val="CodeChar"/>
        </w:rPr>
        <w:t xml:space="preserve">ADMIN_EMAIL</w:t>
      </w:r>
      <w:r>
        <w:t xml:space="preserve">, </w:t>
      </w:r>
      <w:r>
        <w:rPr>
          <w:rStyle w:val="CodeChar"/>
        </w:rPr>
        <w:t xml:space="preserve">ADMIN_PASSWORD</w:t>
      </w:r>
      <w:r>
        <w:t xml:space="preserve"> et, pour l’assistant, </w:t>
      </w:r>
      <w:r>
        <w:rPr>
          <w:rStyle w:val="CodeChar"/>
        </w:rPr>
        <w:t xml:space="preserve">GEMINI_API_KEY</w:t>
      </w:r>
      <w:r>
        <w:t xml:space="preserve"> et </w:t>
      </w:r>
      <w:r>
        <w:rPr>
          <w:rStyle w:val="CodeChar"/>
        </w:rPr>
        <w:t xml:space="preserve">GROQ_API_KEY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Placer les modèles entraînés dans </w:t>
      </w:r>
      <w:r>
        <w:rPr>
          <w:rStyle w:val="CodeChar"/>
        </w:rPr>
        <w:t xml:space="preserve">models/</w:t>
      </w:r>
      <w:r>
        <w:t xml:space="preserve"> : ils ne sont pas dans Git.</w:t>
      </w:r>
    </w:p>
    <w:p>
      <w:pPr>
        <w:pStyle w:val="ListParagraph"/>
        <w:numPr>
          <w:ilvl w:val="0"/>
          <w:numId w:val="12"/>
        </w:numPr>
      </w:pPr>
      <w:r>
        <w:t xml:space="preserve">Lancer </w:t>
      </w:r>
      <w:r>
        <w:rPr>
          <w:rStyle w:val="CodeChar"/>
        </w:rPr>
        <w:t xml:space="preserve">docker compose up -d</w:t>
      </w:r>
      <w:r>
        <w:t xml:space="preserve"> à la racine du projet ; le premier lancement construit les images.</w:t>
      </w:r>
    </w:p>
    <w:p>
      <w:pPr>
        <w:pStyle w:val="ListParagraph"/>
        <w:numPr>
          <w:ilvl w:val="0"/>
          <w:numId w:val="12"/>
        </w:numPr>
      </w:pPr>
      <w:r>
        <w:t xml:space="preserve">Ouvrir l’application sur http://localhost:4200 et la page d’état du backend sur http://localhost:8080.</w:t>
      </w:r>
    </w:p>
    <w:p>
      <w:pPr>
        <w:pStyle w:val="ListParagraph"/>
        <w:numPr>
          <w:ilvl w:val="0"/>
          <w:numId w:val="12"/>
        </w:numPr>
      </w:pPr>
      <w:r>
        <w:t xml:space="preserve">Se connecter avec le compte administrateur du </w:t>
      </w:r>
      <w:r>
        <w:rPr>
          <w:rStyle w:val="CodeChar"/>
        </w:rPr>
        <w:t xml:space="preserve">.env</w:t>
      </w:r>
      <w:r>
        <w:t xml:space="preserve">, ou créer un compte agriculteur avec « Créer un compte ».</w:t>
      </w:r>
    </w:p>
    <w:p>
      <w:pPr>
        <w:pStyle w:val="Heading2"/>
      </w:pPr>
      <w:r>
        <w:t xml:space="preserve">API du backend</w:t>
      </w:r>
    </w:p>
    <w:p>
      <w:pPr/>
      <w:r>
        <w:t xml:space="preserve">Toutes les routes demandent un jeton JWT, sauf l’inscription, la connexion et la page d’état.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24"/>
        <w:gridCol w:w="1390"/>
        <w:gridCol w:w="4546"/>
      </w:tblGrid>
      <w:tr>
        <w:trPr>
          <w:tblHeader/>
        </w:trPr>
        <w:tc>
          <w:tcPr>
            <w:tcW w:w="3424" w:type="dxa"/>
            <w:shd w:val="clear" w:color="auto" w:fill="F2F2F2"/>
          </w:tcPr>
          <w:p>
            <w:pPr/>
            <w:r>
              <w:t xml:space="preserve">Route</w:t>
            </w:r>
          </w:p>
        </w:tc>
        <w:tc>
          <w:tcPr>
            <w:tcW w:w="1390" w:type="dxa"/>
            <w:shd w:val="clear" w:color="auto" w:fill="F2F2F2"/>
          </w:tcPr>
          <w:p>
            <w:pPr/>
            <w:r>
              <w:t xml:space="preserve">Méthode</w:t>
            </w:r>
          </w:p>
        </w:tc>
        <w:tc>
          <w:tcPr>
            <w:tcW w:w="4546" w:type="dxa"/>
            <w:shd w:val="clear" w:color="auto" w:fill="F2F2F2"/>
          </w:tcPr>
          <w:p>
            <w:pPr/>
            <w:r>
              <w:t xml:space="preserve">Rôle</w:t>
            </w:r>
          </w:p>
        </w:tc>
      </w:tr>
      <w:tr>
        <w:tc>
          <w:tcPr>
            <w:tcW w:w="3424" w:type="dxa"/>
          </w:tcPr>
          <w:p>
            <w:pPr/>
            <w:r>
              <w:rPr>
                <w:rStyle w:val="CodeChar"/>
              </w:rPr>
              <w:t xml:space="preserve">/api/auth/register</w:t>
            </w:r>
            <w:r>
              <w:t xml:space="preserve">, </w:t>
            </w:r>
            <w:r>
              <w:rPr>
                <w:rStyle w:val="CodeChar"/>
              </w:rPr>
              <w:t xml:space="preserve">/api/auth/login</w:t>
            </w:r>
          </w:p>
        </w:tc>
        <w:tc>
          <w:tcPr>
            <w:tcW w:w="1390" w:type="dxa"/>
          </w:tcPr>
          <w:p>
            <w:pPr/>
            <w:r>
              <w:t xml:space="preserve">POST</w:t>
            </w:r>
          </w:p>
        </w:tc>
        <w:tc>
          <w:tcPr>
            <w:tcW w:w="4546" w:type="dxa"/>
          </w:tcPr>
          <w:p>
            <w:pPr/>
            <w:r>
              <w:t xml:space="preserve">Inscription (rôle agriculteur) et connexion, qui renvoie le jeton</w:t>
            </w:r>
          </w:p>
        </w:tc>
      </w:tr>
      <w:tr>
        <w:tc>
          <w:tcPr>
            <w:tcW w:w="3424" w:type="dxa"/>
          </w:tcPr>
          <w:p>
            <w:pPr/>
            <w:r>
              <w:rPr>
                <w:rStyle w:val="CodeChar"/>
              </w:rPr>
              <w:t xml:space="preserve">/api/users/me</w:t>
            </w:r>
          </w:p>
        </w:tc>
        <w:tc>
          <w:tcPr>
            <w:tcW w:w="1390" w:type="dxa"/>
          </w:tcPr>
          <w:p>
            <w:pPr/>
            <w:r>
              <w:t xml:space="preserve">GET</w:t>
            </w:r>
          </w:p>
        </w:tc>
        <w:tc>
          <w:tcPr>
            <w:tcW w:w="4546" w:type="dxa"/>
          </w:tcPr>
          <w:p>
            <w:pPr/>
            <w:r>
              <w:t xml:space="preserve">Profil de l’utilisateur connecté</w:t>
            </w:r>
          </w:p>
        </w:tc>
      </w:tr>
      <w:tr>
        <w:tc>
          <w:tcPr>
            <w:tcW w:w="3424" w:type="dxa"/>
          </w:tcPr>
          <w:p>
            <w:pPr/>
            <w:r>
              <w:rPr>
                <w:rStyle w:val="CodeChar"/>
              </w:rPr>
              <w:t xml:space="preserve">/api/parcels</w:t>
            </w:r>
            <w:r>
              <w:t xml:space="preserve">, </w:t>
            </w:r>
            <w:r>
              <w:rPr>
                <w:rStyle w:val="CodeChar"/>
              </w:rPr>
              <w:t xml:space="preserve">/api/parcels/{id}</w:t>
            </w:r>
          </w:p>
        </w:tc>
        <w:tc>
          <w:tcPr>
            <w:tcW w:w="1390" w:type="dxa"/>
          </w:tcPr>
          <w:p>
            <w:pPr/>
            <w:r>
              <w:t xml:space="preserve">GET, POST, PUT, DELETE</w:t>
            </w:r>
          </w:p>
        </w:tc>
        <w:tc>
          <w:tcPr>
            <w:tcW w:w="4546" w:type="dxa"/>
          </w:tcPr>
          <w:p>
            <w:pPr/>
            <w:r>
              <w:t xml:space="preserve">Parcelles de l’agriculteur</w:t>
            </w:r>
          </w:p>
        </w:tc>
      </w:tr>
      <w:tr>
        <w:tc>
          <w:tcPr>
            <w:tcW w:w="3424" w:type="dxa"/>
          </w:tcPr>
          <w:p>
            <w:pPr/>
            <w:r>
              <w:rPr>
                <w:rStyle w:val="CodeChar"/>
              </w:rPr>
              <w:t xml:space="preserve">/api/ai/disease</w:t>
            </w:r>
          </w:p>
        </w:tc>
        <w:tc>
          <w:tcPr>
            <w:tcW w:w="1390" w:type="dxa"/>
          </w:tcPr>
          <w:p>
            <w:pPr/>
            <w:r>
              <w:t xml:space="preserve">POST (photo)</w:t>
            </w:r>
          </w:p>
        </w:tc>
        <w:tc>
          <w:tcPr>
            <w:tcW w:w="4546" w:type="dxa"/>
          </w:tcPr>
          <w:p>
            <w:pPr/>
            <w:r>
              <w:t xml:space="preserve">M1 · diagnostic d’une feuille</w:t>
            </w:r>
          </w:p>
        </w:tc>
      </w:tr>
      <w:tr>
        <w:tc>
          <w:tcPr>
            <w:tcW w:w="3424" w:type="dxa"/>
          </w:tcPr>
          <w:p>
            <w:pPr/>
            <w:r>
              <w:rPr>
                <w:rStyle w:val="CodeChar"/>
              </w:rPr>
              <w:t xml:space="preserve">/api/parcels/{id}/irrigation</w:t>
            </w:r>
          </w:p>
        </w:tc>
        <w:tc>
          <w:tcPr>
            <w:tcW w:w="1390" w:type="dxa"/>
          </w:tcPr>
          <w:p>
            <w:pPr/>
            <w:r>
              <w:t xml:space="preserve">GET</w:t>
            </w:r>
          </w:p>
        </w:tc>
        <w:tc>
          <w:tcPr>
            <w:tcW w:w="4546" w:type="dxa"/>
          </w:tcPr>
          <w:p>
            <w:pPr/>
            <w:r>
              <w:t xml:space="preserve">M2 · conseil d’irrigation et alertes</w:t>
            </w:r>
          </w:p>
        </w:tc>
      </w:tr>
      <w:tr>
        <w:tc>
          <w:tcPr>
            <w:tcW w:w="3424" w:type="dxa"/>
          </w:tcPr>
          <w:p>
            <w:pPr/>
            <w:r>
              <w:rPr>
                <w:rStyle w:val="CodeChar"/>
              </w:rPr>
              <w:t xml:space="preserve">/api/parcels/{id}/yield</w:t>
            </w:r>
          </w:p>
        </w:tc>
        <w:tc>
          <w:tcPr>
            <w:tcW w:w="1390" w:type="dxa"/>
          </w:tcPr>
          <w:p>
            <w:pPr/>
            <w:r>
              <w:t xml:space="preserve">GET</w:t>
            </w:r>
          </w:p>
        </w:tc>
        <w:tc>
          <w:tcPr>
            <w:tcW w:w="4546" w:type="dxa"/>
          </w:tcPr>
          <w:p>
            <w:pPr/>
            <w:r>
              <w:t xml:space="preserve">M3 · récolte de la parcelle</w:t>
            </w:r>
          </w:p>
        </w:tc>
      </w:tr>
      <w:tr>
        <w:tc>
          <w:tcPr>
            <w:tcW w:w="3424" w:type="dxa"/>
          </w:tcPr>
          <w:p>
            <w:pPr/>
            <w:r>
              <w:rPr>
                <w:rStyle w:val="CodeChar"/>
              </w:rPr>
              <w:t xml:space="preserve">/api/ai/price</w:t>
            </w:r>
          </w:p>
        </w:tc>
        <w:tc>
          <w:tcPr>
            <w:tcW w:w="1390" w:type="dxa"/>
          </w:tcPr>
          <w:p>
            <w:pPr/>
            <w:r>
              <w:t xml:space="preserve">GET</w:t>
            </w:r>
          </w:p>
        </w:tc>
        <w:tc>
          <w:tcPr>
            <w:tcW w:w="4546" w:type="dxa"/>
          </w:tcPr>
          <w:p>
            <w:pPr/>
            <w:r>
              <w:t xml:space="preserve">M4 · prévision du prix et conseil de vente</w:t>
            </w:r>
          </w:p>
        </w:tc>
      </w:tr>
      <w:tr>
        <w:tc>
          <w:tcPr>
            <w:tcW w:w="3424" w:type="dxa"/>
          </w:tcPr>
          <w:p>
            <w:pPr/>
            <w:r>
              <w:rPr>
                <w:rStyle w:val="CodeChar"/>
              </w:rPr>
              <w:t xml:space="preserve">/api/ai/chat</w:t>
            </w:r>
          </w:p>
        </w:tc>
        <w:tc>
          <w:tcPr>
            <w:tcW w:w="1390" w:type="dxa"/>
          </w:tcPr>
          <w:p>
            <w:pPr/>
            <w:r>
              <w:t xml:space="preserve">POST</w:t>
            </w:r>
          </w:p>
        </w:tc>
        <w:tc>
          <w:tcPr>
            <w:tcW w:w="4546" w:type="dxa"/>
          </w:tcPr>
          <w:p>
            <w:pPr/>
            <w:r>
              <w:t xml:space="preserve">M5 · question à l’assistant</w:t>
            </w:r>
          </w:p>
        </w:tc>
      </w:tr>
      <w:tr>
        <w:tc>
          <w:tcPr>
            <w:tcW w:w="3424" w:type="dxa"/>
          </w:tcPr>
          <w:p>
            <w:pPr/>
            <w:r>
              <w:rPr>
                <w:rStyle w:val="CodeChar"/>
              </w:rPr>
              <w:t xml:space="preserve">/api/parcels/{id}/count-trees</w:t>
            </w:r>
          </w:p>
        </w:tc>
        <w:tc>
          <w:tcPr>
            <w:tcW w:w="1390" w:type="dxa"/>
          </w:tcPr>
          <w:p>
            <w:pPr/>
            <w:r>
              <w:t xml:space="preserve">POST (image)</w:t>
            </w:r>
          </w:p>
        </w:tc>
        <w:tc>
          <w:tcPr>
            <w:tcW w:w="4546" w:type="dxa"/>
          </w:tcPr>
          <w:p>
            <w:pPr/>
            <w:r>
              <w:t xml:space="preserve">M6 · comptage des oliviers</w:t>
            </w:r>
          </w:p>
        </w:tc>
      </w:tr>
      <w:tr>
        <w:tc>
          <w:tcPr>
            <w:tcW w:w="3424" w:type="dxa"/>
          </w:tcPr>
          <w:p>
            <w:pPr/>
            <w:r>
              <w:rPr>
                <w:rStyle w:val="CodeChar"/>
              </w:rPr>
              <w:t xml:space="preserve">/api/parcels/{id}/harvest-plan</w:t>
            </w:r>
          </w:p>
        </w:tc>
        <w:tc>
          <w:tcPr>
            <w:tcW w:w="1390" w:type="dxa"/>
          </w:tcPr>
          <w:p>
            <w:pPr/>
            <w:r>
              <w:t xml:space="preserve">POST</w:t>
            </w:r>
          </w:p>
        </w:tc>
        <w:tc>
          <w:tcPr>
            <w:tcW w:w="4546" w:type="dxa"/>
          </w:tcPr>
          <w:p>
            <w:pPr/>
            <w:r>
              <w:t xml:space="preserve">Plan de récolte : M6 → M3 → M4</w:t>
            </w:r>
          </w:p>
        </w:tc>
      </w:tr>
      <w:tr>
        <w:tc>
          <w:tcPr>
            <w:tcW w:w="3424" w:type="dxa"/>
          </w:tcPr>
          <w:p>
            <w:pPr/>
            <w:r>
              <w:rPr>
                <w:rStyle w:val="CodeChar"/>
              </w:rPr>
              <w:t xml:space="preserve">/api/history</w:t>
            </w:r>
          </w:p>
        </w:tc>
        <w:tc>
          <w:tcPr>
            <w:tcW w:w="1390" w:type="dxa"/>
          </w:tcPr>
          <w:p>
            <w:pPr/>
            <w:r>
              <w:t xml:space="preserve">GET</w:t>
            </w:r>
          </w:p>
        </w:tc>
        <w:tc>
          <w:tcPr>
            <w:tcW w:w="4546" w:type="dxa"/>
          </w:tcPr>
          <w:p>
            <w:pPr/>
            <w:r>
              <w:t xml:space="preserve">Historique des prédictions</w:t>
            </w:r>
          </w:p>
        </w:tc>
      </w:tr>
      <w:tr>
        <w:tc>
          <w:tcPr>
            <w:tcW w:w="3424" w:type="dxa"/>
          </w:tcPr>
          <w:p>
            <w:pPr/>
            <w:r>
              <w:rPr>
                <w:rStyle w:val="CodeChar"/>
              </w:rPr>
              <w:t xml:space="preserve">/api/admin/stats</w:t>
            </w:r>
            <w:r>
              <w:t xml:space="preserve">, </w:t>
            </w:r>
            <w:r>
              <w:rPr>
                <w:rStyle w:val="CodeChar"/>
              </w:rPr>
              <w:t xml:space="preserve">/users</w:t>
            </w:r>
            <w:r>
              <w:t xml:space="preserve">, </w:t>
            </w:r>
            <w:r>
              <w:rPr>
                <w:rStyle w:val="CodeChar"/>
              </w:rPr>
              <w:t xml:space="preserve">/parcels</w:t>
            </w:r>
            <w:r>
              <w:t xml:space="preserve">, </w:t>
            </w:r>
            <w:r>
              <w:rPr>
                <w:rStyle w:val="CodeChar"/>
              </w:rPr>
              <w:t xml:space="preserve">/predictions</w:t>
            </w:r>
          </w:p>
        </w:tc>
        <w:tc>
          <w:tcPr>
            <w:tcW w:w="1390" w:type="dxa"/>
          </w:tcPr>
          <w:p>
            <w:pPr/>
            <w:r>
              <w:t xml:space="preserve">GET, DELETE</w:t>
            </w:r>
          </w:p>
        </w:tc>
        <w:tc>
          <w:tcPr>
            <w:tcW w:w="4546" w:type="dxa"/>
          </w:tcPr>
          <w:p>
            <w:pPr/>
            <w:r>
              <w:t xml:space="preserve">Back-office, rôle ADMIN seulement</w:t>
            </w:r>
          </w:p>
        </w:tc>
      </w:tr>
      <w:tr>
        <w:tc>
          <w:tcPr>
            <w:tcW w:w="3424" w:type="dxa"/>
          </w:tcPr>
          <w:p>
            <w:pPr/>
            <w:r>
              <w:rPr>
                <w:rStyle w:val="CodeChar"/>
              </w:rPr>
              <w:t xml:space="preserve">/api/status</w:t>
            </w:r>
          </w:p>
        </w:tc>
        <w:tc>
          <w:tcPr>
            <w:tcW w:w="1390" w:type="dxa"/>
          </w:tcPr>
          <w:p>
            <w:pPr/>
            <w:r>
              <w:t xml:space="preserve">GET</w:t>
            </w:r>
          </w:p>
        </w:tc>
        <w:tc>
          <w:tcPr>
            <w:tcW w:w="4546" w:type="dxa"/>
          </w:tcPr>
          <w:p>
            <w:pPr/>
            <w:r>
              <w:t xml:space="preserve">État public du backend, de la base et des six modules</w:t>
            </w:r>
          </w:p>
        </w:tc>
      </w:tr>
    </w:tbl>
    <w:p>
      <w:pPr>
        <w:pStyle w:val="Heading2"/>
      </w:pPr>
      <w:r>
        <w:t xml:space="preserve">Base de données</w:t>
      </w:r>
    </w:p>
    <w:p>
      <w:pPr/>
      <w:r>
        <w:t xml:space="preserve">Trois tables, créées et versionnées par Flyway :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users</w:t>
      </w:r>
      <w:r>
        <w:t xml:space="preserve"> : nom, e-mail unique, mot de passe haché, rôle (FARMER ou ADMIN), date de création.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parcels</w:t>
      </w:r>
      <w:r>
        <w:t xml:space="preserve"> : propriétaire, nom, gouvernorat, coordonnées GPS, surface, nombre d’arbres, variété, irriguée ou non.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predictions</w:t>
      </w:r>
      <w:r>
        <w:t xml:space="preserve"> : utilisateur, parcelle, module, requête et réponse en JSON, date.</w:t>
      </w:r>
    </w:p>
    <w:p>
      <w:pPr/>
      <w:r>
        <w:t xml:space="preserve">Supprimer un compte supprime ses parcelles et ses prédictions ; supprimer une parcelle garde ses prédictions dans l’historique.</w:t>
      </w:r>
    </w:p>
    <w:p>
      <w:pPr>
        <w:pStyle w:val="Heading2"/>
      </w:pPr>
      <w:r>
        <w:t xml:space="preserve">Sécurité et protection des données</w:t>
      </w:r>
    </w:p>
    <w:p>
      <w:pPr>
        <w:pStyle w:val="ListParagraph"/>
        <w:numPr>
          <w:ilvl w:val="0"/>
          <w:numId w:val="14"/>
        </w:numPr>
      </w:pPr>
      <w:r>
        <w:t xml:space="preserve">Mots de passe hachés avec BCrypt, jamais stockés en clair.</w:t>
      </w:r>
    </w:p>
    <w:p>
      <w:pPr>
        <w:pStyle w:val="ListParagraph"/>
        <w:numPr>
          <w:ilvl w:val="0"/>
          <w:numId w:val="14"/>
        </w:numPr>
      </w:pPr>
      <w:r>
        <w:t xml:space="preserve">Jeton JWT signé, valable 24 heures.</w:t>
      </w:r>
    </w:p>
    <w:p>
      <w:pPr>
        <w:pStyle w:val="ListParagraph"/>
        <w:numPr>
          <w:ilvl w:val="0"/>
          <w:numId w:val="14"/>
        </w:numPr>
      </w:pPr>
      <w:r>
        <w:t xml:space="preserve">Secrets (clé JWT, mot de passe administrateur, clés Gemini et Groq) uniquement dans </w:t>
      </w:r>
      <w:r>
        <w:rPr>
          <w:rStyle w:val="CodeChar"/>
        </w:rPr>
        <w:t xml:space="preserve">.env</w:t>
      </w:r>
      <w:r>
        <w:t xml:space="preserve">, exclu de Git.</w:t>
      </w:r>
    </w:p>
    <w:p>
      <w:pPr>
        <w:pStyle w:val="ListParagraph"/>
        <w:numPr>
          <w:ilvl w:val="0"/>
          <w:numId w:val="14"/>
        </w:numPr>
      </w:pPr>
      <w:r>
        <w:t xml:space="preserve">Photos limitées à 10 Mo.</w:t>
      </w:r>
    </w:p>
    <w:p>
      <w:pPr>
        <w:pStyle w:val="ListParagraph"/>
        <w:numPr>
          <w:ilvl w:val="0"/>
          <w:numId w:val="14"/>
        </w:numPr>
      </w:pPr>
      <w:r>
        <w:t xml:space="preserve">Le LLM reçoit la question et les chiffres des modules, jamais le nom ni l’e-mail de l’agriculteur.</w:t>
      </w:r>
    </w:p>
    <w:p>
      <w:pPr>
        <w:pStyle w:val="ListParagraph"/>
        <w:numPr>
          <w:ilvl w:val="0"/>
          <w:numId w:val="14"/>
        </w:numPr>
      </w:pPr>
      <w:r>
        <w:t xml:space="preserve">Les modèles sont entraînés sur des données publiques ; aucune donnée d’agriculteur n’a servi à l’entraînement.</w:t>
      </w:r>
    </w:p>
    <w:p>
      <w:pPr>
        <w:pStyle w:val="Heading2"/>
      </w:pPr>
      <w:r>
        <w:t xml:space="preserve">Tests et qualité</w:t>
      </w:r>
    </w:p>
    <w:p>
      <w:pPr/>
      <w:r>
        <w:t xml:space="preserve">154 tests automatiques passent : 44 pour le backend, 15 pour le frontend et 95 pour les six services d’IA.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91"/>
        <w:gridCol w:w="932"/>
        <w:gridCol w:w="5535"/>
      </w:tblGrid>
      <w:tr>
        <w:trPr>
          <w:tblHeader/>
        </w:trPr>
        <w:tc>
          <w:tcPr>
            <w:tcW w:w="2891" w:type="dxa"/>
            <w:shd w:val="clear" w:color="auto" w:fill="F2F2F2"/>
          </w:tcPr>
          <w:p>
            <w:pPr/>
            <w:r>
              <w:t xml:space="preserve">Partie</w:t>
            </w:r>
          </w:p>
        </w:tc>
        <w:tc>
          <w:tcPr>
            <w:tcW w:w="932" w:type="dxa"/>
            <w:shd w:val="clear" w:color="auto" w:fill="F2F2F2"/>
          </w:tcPr>
          <w:p>
            <w:pPr/>
            <w:r>
              <w:t xml:space="preserve">Tests</w:t>
            </w:r>
          </w:p>
        </w:tc>
        <w:tc>
          <w:tcPr>
            <w:tcW w:w="5535" w:type="dxa"/>
            <w:shd w:val="clear" w:color="auto" w:fill="F2F2F2"/>
          </w:tcPr>
          <w:p>
            <w:pPr/>
            <w:r>
              <w:t xml:space="preserve">Ce qu’ils vérifient</w:t>
            </w:r>
          </w:p>
        </w:tc>
      </w:tr>
      <w:tr>
        <w:tc>
          <w:tcPr>
            <w:tcW w:w="2891" w:type="dxa"/>
          </w:tcPr>
          <w:p>
            <w:pPr/>
            <w:r>
              <w:t xml:space="preserve">Backend (Spring Boot)</w:t>
            </w:r>
          </w:p>
        </w:tc>
        <w:tc>
          <w:tcPr>
            <w:tcW w:w="932" w:type="dxa"/>
          </w:tcPr>
          <w:p>
            <w:pPr/>
            <w:r>
              <w:t xml:space="preserve">44</w:t>
            </w:r>
          </w:p>
        </w:tc>
        <w:tc>
          <w:tcPr>
            <w:tcW w:w="5535" w:type="dxa"/>
          </w:tcPr>
          <w:p>
            <w:pPr/>
            <w:r>
              <w:t xml:space="preserve">Authentification, parcelles, clients des 6 modules, back-office, administrateur unique, statut</w:t>
            </w:r>
          </w:p>
        </w:tc>
      </w:tr>
      <w:tr>
        <w:tc>
          <w:tcPr>
            <w:tcW w:w="2891" w:type="dxa"/>
          </w:tcPr>
          <w:p>
            <w:pPr/>
            <w:r>
              <w:t xml:space="preserve">Frontend (Angular)</w:t>
            </w:r>
          </w:p>
        </w:tc>
        <w:tc>
          <w:tcPr>
            <w:tcW w:w="932" w:type="dxa"/>
          </w:tcPr>
          <w:p>
            <w:pPr/>
            <w:r>
              <w:t xml:space="preserve">15</w:t>
            </w:r>
          </w:p>
        </w:tc>
        <w:tc>
          <w:tcPr>
            <w:tcW w:w="5535" w:type="dxa"/>
          </w:tcPr>
          <w:p>
            <w:pPr/>
            <w:r>
              <w:t xml:space="preserve">Irrigation, prix et graphique, accueil, back-office, redirection selon le rôle</w:t>
            </w:r>
          </w:p>
        </w:tc>
      </w:tr>
      <w:tr>
        <w:tc>
          <w:tcPr>
            <w:tcW w:w="2891" w:type="dxa"/>
          </w:tcPr>
          <w:p>
            <w:pPr/>
            <w:r>
              <w:t xml:space="preserve">M1</w:t>
            </w:r>
          </w:p>
        </w:tc>
        <w:tc>
          <w:tcPr>
            <w:tcW w:w="932" w:type="dxa"/>
          </w:tcPr>
          <w:p>
            <w:pPr/>
            <w:r>
              <w:t xml:space="preserve">7</w:t>
            </w:r>
          </w:p>
        </w:tc>
        <w:tc>
          <w:tcPr>
            <w:tcW w:w="5535" w:type="dxa"/>
          </w:tcPr>
          <w:p>
            <w:pPr/>
            <w:r>
              <w:t xml:space="preserve">Contrat de l’API, modèle TorchScript, seuil de confiance</w:t>
            </w:r>
          </w:p>
        </w:tc>
      </w:tr>
      <w:tr>
        <w:tc>
          <w:tcPr>
            <w:tcW w:w="2891" w:type="dxa"/>
          </w:tcPr>
          <w:p>
            <w:pPr/>
            <w:r>
              <w:t xml:space="preserve">M2</w:t>
            </w:r>
          </w:p>
        </w:tc>
        <w:tc>
          <w:tcPr>
            <w:tcW w:w="932" w:type="dxa"/>
          </w:tcPr>
          <w:p>
            <w:pPr/>
            <w:r>
              <w:t xml:space="preserve">8</w:t>
            </w:r>
          </w:p>
        </w:tc>
        <w:tc>
          <w:tcPr>
            <w:tcW w:w="5535" w:type="dxa"/>
          </w:tcPr>
          <w:p>
            <w:pPr/>
            <w:r>
              <w:t xml:space="preserve">LSTM NumPy, bilan hydrique, alertes, panne de la météo</w:t>
            </w:r>
          </w:p>
        </w:tc>
      </w:tr>
      <w:tr>
        <w:tc>
          <w:tcPr>
            <w:tcW w:w="2891" w:type="dxa"/>
          </w:tcPr>
          <w:p>
            <w:pPr/>
            <w:r>
              <w:t xml:space="preserve">M3</w:t>
            </w:r>
          </w:p>
        </w:tc>
        <w:tc>
          <w:tcPr>
            <w:tcW w:w="932" w:type="dxa"/>
          </w:tcPr>
          <w:p>
            <w:pPr/>
            <w:r>
              <w:t xml:space="preserve">7</w:t>
            </w:r>
          </w:p>
        </w:tc>
        <w:tc>
          <w:tcPr>
            <w:tcW w:w="5535" w:type="dxa"/>
          </w:tcPr>
          <w:p>
            <w:pPr/>
            <w:r>
              <w:t xml:space="preserve">Saison publiée, prévision récursive, surface ou nombre d’arbres</w:t>
            </w:r>
          </w:p>
        </w:tc>
      </w:tr>
      <w:tr>
        <w:tc>
          <w:tcPr>
            <w:tcW w:w="2891" w:type="dxa"/>
          </w:tcPr>
          <w:p>
            <w:pPr/>
            <w:r>
              <w:t xml:space="preserve">M4</w:t>
            </w:r>
          </w:p>
        </w:tc>
        <w:tc>
          <w:tcPr>
            <w:tcW w:w="932" w:type="dxa"/>
          </w:tcPr>
          <w:p>
            <w:pPr/>
            <w:r>
              <w:t xml:space="preserve">9</w:t>
            </w:r>
          </w:p>
        </w:tc>
        <w:tc>
          <w:tcPr>
            <w:tcW w:w="5535" w:type="dxa"/>
          </w:tcPr>
          <w:p>
            <w:pPr/>
            <w:r>
              <w:t xml:space="preserve">Intervalle, conseil vendre / stocker, marge de prudence</w:t>
            </w:r>
          </w:p>
        </w:tc>
      </w:tr>
      <w:tr>
        <w:tc>
          <w:tcPr>
            <w:tcW w:w="2891" w:type="dxa"/>
          </w:tcPr>
          <w:p>
            <w:pPr/>
            <w:r>
              <w:t xml:space="preserve">M5</w:t>
            </w:r>
          </w:p>
        </w:tc>
        <w:tc>
          <w:tcPr>
            <w:tcW w:w="932" w:type="dxa"/>
          </w:tcPr>
          <w:p>
            <w:pPr/>
            <w:r>
              <w:t xml:space="preserve">55</w:t>
            </w:r>
          </w:p>
        </w:tc>
        <w:tc>
          <w:tcPr>
            <w:tcW w:w="5535" w:type="dxa"/>
          </w:tcPr>
          <w:p>
            <w:pPr/>
            <w:r>
              <w:t xml:space="preserve">Règles de clarification, LLM, modèle entraîné sur le test indépendant</w:t>
            </w:r>
          </w:p>
        </w:tc>
      </w:tr>
      <w:tr>
        <w:tc>
          <w:tcPr>
            <w:tcW w:w="2891" w:type="dxa"/>
          </w:tcPr>
          <w:p>
            <w:pPr/>
            <w:r>
              <w:t xml:space="preserve">M6</w:t>
            </w:r>
          </w:p>
        </w:tc>
        <w:tc>
          <w:tcPr>
            <w:tcW w:w="932" w:type="dxa"/>
          </w:tcPr>
          <w:p>
            <w:pPr/>
            <w:r>
              <w:t xml:space="preserve">9</w:t>
            </w:r>
          </w:p>
        </w:tc>
        <w:tc>
          <w:tcPr>
            <w:tcW w:w="5535" w:type="dxa"/>
          </w:tcPr>
          <w:p>
            <w:pPr/>
            <w:r>
              <w:t xml:space="preserve">Comptage sur vergers synthétiques, couronnes collées, sol nu</w:t>
            </w:r>
          </w:p>
        </w:tc>
      </w:tr>
    </w:tbl>
    <w:p>
      <w:pPr/>
      <w:r>
        <w:t xml:space="preserve">Chaque notebook s’exécute de haut en bas avec une graine fixe (42) ; les résultats sont reproductibles.</w:t>
      </w:r>
    </w:p>
    <w:p>
      <w:pPr>
        <w:pStyle w:val="Heading2"/>
      </w:pPr>
      <w:r>
        <w:t xml:space="preserve">Limites et perspectives</w:t>
      </w:r>
    </w:p>
    <w:p>
      <w:pPr/>
      <w:r>
        <w:t xml:space="preserve">Les six modules sont réels ; quatre limites restent, chacune avec une suite claire.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Limite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Suite proposée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M3 prévoit la production nationale, faute de données régionales ouvertes</w:t>
            </w:r>
          </w:p>
        </w:tc>
        <w:tc>
          <w:tcPr>
            <w:tcW w:w="4920" w:type="dxa"/>
          </w:tcPr>
          <w:p>
            <w:pPr/>
            <w:r>
              <w:t xml:space="preserve">Extraire les rapports ONAGRI par gouvernorat et entraîner le même pipeline par région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M4 utilise un prix mondial de référence, plus élevé que le prix au producteur</w:t>
            </w:r>
          </w:p>
        </w:tc>
        <w:tc>
          <w:tcPr>
            <w:tcW w:w="4920" w:type="dxa"/>
          </w:tcPr>
          <w:p>
            <w:pPr/>
            <w:r>
              <w:t xml:space="preserve">Saisir les prix au producteur tunisiens du COI (le pipeline les prend en charge)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M5 repose sur 500 questions et un modèle TF-IDF</w:t>
            </w:r>
          </w:p>
        </w:tc>
        <w:tc>
          <w:tcPr>
            <w:tcW w:w="4920" w:type="dxa"/>
          </w:tcPr>
          <w:p>
            <w:pPr/>
            <w:r>
              <w:t xml:space="preserve">Enrichir le jeu de questions, comparer un modèle SetFit ou BERT entraîné sur GPU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M6 utilise une méthode classique, évaluée sur des images synthétiques</w:t>
            </w:r>
          </w:p>
        </w:tc>
        <w:tc>
          <w:tcPr>
            <w:tcW w:w="4920" w:type="dxa"/>
          </w:tcPr>
          <w:p>
            <w:pPr/>
            <w:r>
              <w:t xml:space="preserve">Entraîner YOLOv8 sur OliveTreeCrownsDb, l’évaluer sur des captures tunisiennes annotées</w:t>
            </w:r>
          </w:p>
        </w:tc>
      </w:tr>
    </w:tbl>
    <w:p>
      <w:pPr/>
      <w:r>
        <w:t xml:space="preserve">Autres suites : tests avec de vrais agriculteurs, version mobile, mise à jour mensuelle des prix et annuelle des récoltes.</w:t>
      </w:r>
    </w:p>
    <w:p>
      <w:pPr>
        <w:pStyle w:val="Heading2"/>
      </w:pPr>
      <w:r>
        <w:t xml:space="preserve">Conclusion</w:t>
      </w:r>
    </w:p>
    <w:p>
      <w:pPr/>
      <w:r>
        <w:t xml:space="preserve">Zitouna AI atteint le critère de réussite fixé au départ : les six modules tournent dans une même application, chacun avec un modèle entraîné sur des données réelles et une métrique qui bat une référence simple.</w:t>
      </w:r>
    </w:p>
    <w:p>
      <w:pPr/>
      <w:r>
        <w:t xml:space="preserve">Le projet couvre toute la chaîne : données, modèles, services d’IA, backend sécurisé, espace agriculteur, back-office et déploiement Docker, vérifiés par 154 tests automatiques.</w:t>
      </w:r>
    </w:p>
    <w:p>
      <w:pPr/>
      <w:r>
        <w:t xml:space="preserve">Ce que l’équipe retient :</w:t>
      </w:r>
    </w:p>
    <w:p>
      <w:pPr>
        <w:pStyle w:val="ListParagraph"/>
        <w:numPr>
          <w:ilvl w:val="0"/>
          <w:numId w:val="15"/>
        </w:numPr>
      </w:pPr>
      <w:r>
        <w:t xml:space="preserve">Commencer par une référence simple : elle montre si un modèle complexe apporte vraiment quelque chose (le LSTM de M4 ne bat pas le modèle naïf, SARIMA oui).</w:t>
      </w:r>
    </w:p>
    <w:p>
      <w:pPr>
        <w:pStyle w:val="ListParagraph"/>
        <w:numPr>
          <w:ilvl w:val="0"/>
          <w:numId w:val="15"/>
        </w:numPr>
      </w:pPr>
      <w:r>
        <w:t xml:space="preserve">Un découpage sans fuite donne des chiffres honnêtes, même s’ils sont moins flatteurs.</w:t>
      </w:r>
    </w:p>
    <w:p>
      <w:pPr>
        <w:pStyle w:val="ListParagraph"/>
        <w:numPr>
          <w:ilvl w:val="0"/>
          <w:numId w:val="15"/>
        </w:numPr>
      </w:pPr>
      <w:r>
        <w:t xml:space="preserve">Un bon modèle ne suffit pas : la marge de prudence de M4 et le seuil de confiance de M1 rendent les conseils fiables pour l’agriculteur.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16"/>
        </w:numPr>
      </w:pPr>
      <w:hyperlink r:id="rId4" w:history="1">
        <w:r>
          <w:rPr>
            <w:rStyle w:val="Hyperlink"/>
          </w:rPr>
          <w:t xml:space="preserve">Olive Leaf Image Dataset (Kaggle, Uğuz &amp; Uysal)</w:t>
        </w:r>
      </w:hyperlink>
      <w:r>
        <w:t xml:space="preserve"> — photos de feuilles, M1</w:t>
      </w:r>
    </w:p>
    <w:p>
      <w:pPr>
        <w:pStyle w:val="ListParagraph"/>
        <w:numPr>
          <w:ilvl w:val="0"/>
          <w:numId w:val="16"/>
        </w:numPr>
      </w:pPr>
      <w:hyperlink r:id="rId5" w:history="1">
        <w:r>
          <w:rPr>
            <w:rStyle w:val="Hyperlink"/>
          </w:rPr>
          <w:t xml:space="preserve">Open-Meteo, API d’archive ERA5 et de prévisions</w:t>
        </w:r>
      </w:hyperlink>
      <w:r>
        <w:t xml:space="preserve"> — météo, M2 et M3</w:t>
      </w:r>
    </w:p>
    <w:p>
      <w:pPr>
        <w:pStyle w:val="ListParagraph"/>
        <w:numPr>
          <w:ilvl w:val="0"/>
          <w:numId w:val="16"/>
        </w:numPr>
      </w:pPr>
      <w:hyperlink r:id="rId6" w:history="1">
        <w:r>
          <w:rPr>
            <w:rStyle w:val="Hyperlink"/>
          </w:rPr>
          <w:t xml:space="preserve">FAOSTAT, production agricole (export Afrique)</w:t>
        </w:r>
      </w:hyperlink>
      <w:r>
        <w:t xml:space="preserve"> — production d’olives de la Tunisie, M3</w:t>
      </w:r>
    </w:p>
    <w:p>
      <w:pPr>
        <w:pStyle w:val="ListParagraph"/>
        <w:numPr>
          <w:ilvl w:val="0"/>
          <w:numId w:val="16"/>
        </w:numPr>
      </w:pPr>
      <w:hyperlink r:id="rId7" w:history="1">
        <w:r>
          <w:rPr>
            <w:rStyle w:val="Hyperlink"/>
          </w:rPr>
          <w:t xml:space="preserve">FRED, Global price of Olive Oil (POLVOILUSDM), source FMI</w:t>
        </w:r>
      </w:hyperlink>
      <w:r>
        <w:t xml:space="preserve"> — prix de l’huile, M4</w:t>
      </w:r>
    </w:p>
    <w:p>
      <w:pPr>
        <w:pStyle w:val="ListParagraph"/>
        <w:numPr>
          <w:ilvl w:val="0"/>
          <w:numId w:val="16"/>
        </w:numPr>
      </w:pPr>
      <w:hyperlink r:id="rId8" w:history="1">
        <w:r>
          <w:rPr>
            <w:rStyle w:val="Hyperlink"/>
          </w:rPr>
          <w:t xml:space="preserve">Banque mondiale, taux de change officiel PA.NUS.FCRF</w:t>
        </w:r>
      </w:hyperlink>
      <w:r>
        <w:t xml:space="preserve"> — conversion en dinars, M4</w:t>
      </w:r>
    </w:p>
    <w:p>
      <w:pPr>
        <w:pStyle w:val="ListParagraph"/>
        <w:numPr>
          <w:ilvl w:val="0"/>
          <w:numId w:val="16"/>
        </w:numPr>
      </w:pPr>
      <w:r>
        <w:t xml:space="preserve">Plan de projet Zitouna AI (ONAGRI, African Manager, AllAfrica) — chiffres du contexte</w:t>
      </w:r>
    </w:p>
    <w:p>
      <w:pPr>
        <w:pStyle w:val="ListParagraph"/>
        <w:numPr>
          <w:ilvl w:val="0"/>
          <w:numId w:val="16"/>
        </w:numPr>
      </w:pPr>
      <w:r>
        <w:t xml:space="preserve">Code, notebooks et résultats détaillés : </w:t>
      </w:r>
      <w:r>
        <w:rPr>
          <w:rStyle w:val="CodeChar"/>
        </w:rPr>
        <w:t xml:space="preserve">notebooks/m1_disease</w:t>
      </w:r>
      <w:r>
        <w:t xml:space="preserve"> à </w:t>
      </w:r>
      <w:r>
        <w:rPr>
          <w:rStyle w:val="CodeChar"/>
        </w:rPr>
        <w:t xml:space="preserve">notebooks/m6_tree_count</w:t>
      </w:r>
      <w:r>
        <w:t xml:space="preserve"> et </w:t>
      </w:r>
      <w:r>
        <w:rPr>
          <w:rStyle w:val="CodeChar"/>
        </w:rPr>
        <w:t xml:space="preserve">ai-services/</w:t>
      </w:r>
      <w:r>
        <w:t xml:space="preserve"> du dépôt</w:t>
      </w:r>
    </w:p>
    <w:p>
      <w:pPr>
        <w:pStyle w:val="Heading2"/>
      </w:pPr>
      <w:r>
        <w:t xml:space="preserve">Annexe · Glossaire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2"/>
        <w:gridCol w:w="6827"/>
      </w:tblGrid>
      <w:tr>
        <w:trPr>
          <w:tblHeader/>
        </w:trPr>
        <w:tc>
          <w:tcPr>
            <w:tcW w:w="2532" w:type="dxa"/>
            <w:shd w:val="clear" w:color="auto" w:fill="F2F2F2"/>
          </w:tcPr>
          <w:p>
            <w:pPr/>
            <w:r>
              <w:t xml:space="preserve">Terme</w:t>
            </w:r>
          </w:p>
        </w:tc>
        <w:tc>
          <w:tcPr>
            <w:tcW w:w="6827" w:type="dxa"/>
            <w:shd w:val="clear" w:color="auto" w:fill="F2F2F2"/>
          </w:tcPr>
          <w:p>
            <w:pPr/>
            <w:r>
              <w:t xml:space="preserve">Signification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ET₀</w:t>
            </w:r>
          </w:p>
        </w:tc>
        <w:tc>
          <w:tcPr>
            <w:tcW w:w="6827" w:type="dxa"/>
          </w:tcPr>
          <w:p>
            <w:pPr/>
            <w:r>
              <w:t xml:space="preserve">Évapotranspiration de référence : eau perdue par le sol et les plantes, en mm par jour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MAE</w:t>
            </w:r>
          </w:p>
        </w:tc>
        <w:tc>
          <w:tcPr>
            <w:tcW w:w="6827" w:type="dxa"/>
          </w:tcPr>
          <w:p>
            <w:pPr/>
            <w:r>
              <w:t xml:space="preserve">Erreur absolue moyenne, dans l’unité de la mesure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MAPE</w:t>
            </w:r>
          </w:p>
        </w:tc>
        <w:tc>
          <w:tcPr>
            <w:tcW w:w="6827" w:type="dxa"/>
          </w:tcPr>
          <w:p>
            <w:pPr/>
            <w:r>
              <w:t xml:space="preserve">Erreur moyenne, en pourcentage de la vraie valeur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F1 macro</w:t>
            </w:r>
          </w:p>
        </w:tc>
        <w:tc>
          <w:tcPr>
            <w:tcW w:w="6827" w:type="dxa"/>
          </w:tcPr>
          <w:p>
            <w:pPr/>
            <w:r>
              <w:t xml:space="preserve">Moyenne du score F1 de chaque classe ; ne favorise pas la classe la plus fréquente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Calibration</w:t>
            </w:r>
          </w:p>
        </w:tc>
        <w:tc>
          <w:tcPr>
            <w:tcW w:w="6827" w:type="dxa"/>
          </w:tcPr>
          <w:p>
            <w:pPr/>
            <w:r>
              <w:t xml:space="preserve">Accord entre la confiance affichée et le taux réel de bonnes réponses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Grad-CAM</w:t>
            </w:r>
          </w:p>
        </w:tc>
        <w:tc>
          <w:tcPr>
            <w:tcW w:w="6827" w:type="dxa"/>
          </w:tcPr>
          <w:p>
            <w:pPr/>
            <w:r>
              <w:t xml:space="preserve">Carte qui montre la zone de l’image qui a compté dans la décision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MobileNetV3</w:t>
            </w:r>
          </w:p>
        </w:tc>
        <w:tc>
          <w:tcPr>
            <w:tcW w:w="6827" w:type="dxa"/>
          </w:tcPr>
          <w:p>
            <w:pPr/>
            <w:r>
              <w:t xml:space="preserve">Réseau de neurones léger pour les images, préentraîné sur ImageNet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LSTM</w:t>
            </w:r>
          </w:p>
        </w:tc>
        <w:tc>
          <w:tcPr>
            <w:tcW w:w="6827" w:type="dxa"/>
          </w:tcPr>
          <w:p>
            <w:pPr/>
            <w:r>
              <w:t xml:space="preserve">Réseau de neurones récurrent pour les séries temporelles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SARIMA</w:t>
            </w:r>
          </w:p>
        </w:tc>
        <w:tc>
          <w:tcPr>
            <w:tcW w:w="6827" w:type="dxa"/>
          </w:tcPr>
          <w:p>
            <w:pPr/>
            <w:r>
              <w:t xml:space="preserve">Modèle statistique de série temporelle avec saisonnalité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Random Forest</w:t>
            </w:r>
          </w:p>
        </w:tc>
        <w:tc>
          <w:tcPr>
            <w:tcW w:w="6827" w:type="dxa"/>
          </w:tcPr>
          <w:p>
            <w:pPr/>
            <w:r>
              <w:t xml:space="preserve">Ensemble d’arbres de décision dont on fait la moyenne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TF-IDF</w:t>
            </w:r>
          </w:p>
        </w:tc>
        <w:tc>
          <w:tcPr>
            <w:tcW w:w="6827" w:type="dxa"/>
          </w:tcPr>
          <w:p>
            <w:pPr/>
            <w:r>
              <w:t xml:space="preserve">Représentation d’un texte par le poids de ses mots ou de ses groupes de caractères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Seuil d’Otsu</w:t>
            </w:r>
          </w:p>
        </w:tc>
        <w:tc>
          <w:tcPr>
            <w:tcW w:w="6827" w:type="dxa"/>
          </w:tcPr>
          <w:p>
            <w:pPr/>
            <w:r>
              <w:t xml:space="preserve">Méthode qui choisit seule le seuil séparant deux groupes de pixels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Derja, arabizi</w:t>
            </w:r>
          </w:p>
        </w:tc>
        <w:tc>
          <w:tcPr>
            <w:tcW w:w="6827" w:type="dxa"/>
          </w:tcPr>
          <w:p>
            <w:pPr/>
            <w:r>
              <w:t xml:space="preserve">Arabe tunisien ; l’arabizi l’écrit en lettres latines et en chiffres (9 pour ق)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LLM</w:t>
            </w:r>
          </w:p>
        </w:tc>
        <w:tc>
          <w:tcPr>
            <w:tcW w:w="6827" w:type="dxa"/>
          </w:tcPr>
          <w:p>
            <w:pPr/>
            <w:r>
              <w:t xml:space="preserve">Grand modèle de langage (ici Gemini et Groq)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JWT</w:t>
            </w:r>
          </w:p>
        </w:tc>
        <w:tc>
          <w:tcPr>
            <w:tcW w:w="6827" w:type="dxa"/>
          </w:tcPr>
          <w:p>
            <w:pPr/>
            <w:r>
              <w:t xml:space="preserve">Jeton signé qui prouve l’identité de l’utilisateur à chaque requête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kaggle.com/" TargetMode="External"/><Relationship Id="rId5" Type="http://schemas.openxmlformats.org/officeDocument/2006/relationships/hyperlink" Target="https://open-meteo.com/" TargetMode="External"/><Relationship Id="rId6" Type="http://schemas.openxmlformats.org/officeDocument/2006/relationships/hyperlink" Target="https://www.fao.org/faostat/" TargetMode="External"/><Relationship Id="rId7" Type="http://schemas.openxmlformats.org/officeDocument/2006/relationships/hyperlink" Target="https://fred.stlouisfed.org/series/POLVOILUSDM" TargetMode="External"/><Relationship Id="rId8" Type="http://schemas.openxmlformats.org/officeDocument/2006/relationships/hyperlink" Target="https://data.worldbank.org/indicator/PA.NUS.FCRF?locations=TN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Zitouna AI — Rapport final</dc:title>
  <dc:description>Claude Docs node/30cd2c4b-93e6@105 docx-w7</dc:description>
  <cp:revision>105</cp:revision>
</cp:coreProperties>
</file>