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Zitouna AI — Rapport</w:t>
      </w:r>
    </w:p>
    <w:p>
      <w:pPr/>
      <w:r>
        <w:t xml:space="preserve">Oct 17, 2026</w:t>
      </w:r>
      <w:r>
        <w:t xml:space="preserve"> · Projet IA for Software Engineering</w:t>
      </w:r>
    </w:p>
    <w:p>
      <w:pPr/>
      <w:r>
        <w:rPr>
          <w:b/>
        </w:rPr>
        <w:t xml:space="preserve">Équipe</w:t>
      </w:r>
      <w:r>
        <w:t xml:space="preserve"> : Omar Azouz · Khadija Ben Ayed · Med Amine Bejaoui · Emna Dorai · Rima Jenhani · Aziz Dlissi</w:t>
      </w:r>
    </w:p>
    <w:p>
      <w:pPr>
        <w:pStyle w:val="Heading2"/>
      </w:pPr>
      <w:r>
        <w:t xml:space="preserve">1. Le problème</w:t>
      </w:r>
    </w:p>
    <w:p>
      <w:pPr/>
      <w:r>
        <w:t xml:space="preserve">En Tunisie, beaucoup de petits oléiculteurs décident sans outil : ils ne savent pas toujours quelle maladie touche leurs arbres, combien arroser, combien ils vont récolter, ni quand vendre leur huile. Une mauvaise décision coûte cher, car les prix changent beaucoup d’une année à l’autre.</w:t>
      </w:r>
    </w:p>
    <w:p>
      <w:pPr>
        <w:pStyle w:val="Heading2"/>
      </w:pPr>
      <w:r>
        <w:t xml:space="preserve">2. Notre solution</w:t>
      </w:r>
    </w:p>
    <w:p>
      <w:pPr/>
      <w:r>
        <w:t xml:space="preserve">Zitouna AI est une application web qui aide l’agriculteur avec six modules d’intelligence artificielle. Chaque membre de l’équipe a réalisé un module, des données jusqu’à l’écran.</w:t>
      </w:r>
    </w:p>
    <w:tbl>
      <w:tblPr>
        <w:tblStyle w:val="TableGrid"/>
        <w:tblW w:w="0" w:type="auto"/>
        <w:tblLayout w:type="fixed"/>
        <w:tblLook w:val="04A0" w:firstRow="1" w:lastRow="0" w:firstColumn="0" w:lastColumn="0" w:noHBand="0" w:noVBand="1"/>
      </w:tblPr>
      <w:tblGrid>
        <w:gridCol w:w="2007"/>
        <w:gridCol w:w="2347"/>
        <w:gridCol w:w="5005"/>
      </w:tblGrid>
      <w:tr>
        <w:trPr>
          <w:tblHeader/>
        </w:trPr>
        <w:tc>
          <w:tcPr>
            <w:tcW w:w="2007" w:type="dxa"/>
            <w:shd w:val="clear" w:color="auto" w:fill="F2F2F2"/>
          </w:tcPr>
          <w:p>
            <w:pPr/>
            <w:r>
              <w:t xml:space="preserve">Module</w:t>
            </w:r>
          </w:p>
        </w:tc>
        <w:tc>
          <w:tcPr>
            <w:tcW w:w="2347" w:type="dxa"/>
            <w:shd w:val="clear" w:color="auto" w:fill="F2F2F2"/>
          </w:tcPr>
          <w:p>
            <w:pPr/>
            <w:r>
              <w:t xml:space="preserve">Membre</w:t>
            </w:r>
          </w:p>
        </w:tc>
        <w:tc>
          <w:tcPr>
            <w:tcW w:w="5005" w:type="dxa"/>
            <w:shd w:val="clear" w:color="auto" w:fill="F2F2F2"/>
          </w:tcPr>
          <w:p>
            <w:pPr/>
            <w:r>
              <w:t xml:space="preserve">Ce qu’il fait</w:t>
            </w:r>
          </w:p>
        </w:tc>
      </w:tr>
      <w:tr>
        <w:tc>
          <w:tcPr>
            <w:tcW w:w="2007" w:type="dxa"/>
          </w:tcPr>
          <w:p>
            <w:pPr/>
            <w:r>
              <w:t xml:space="preserve">M1 · Maladies</w:t>
            </w:r>
          </w:p>
        </w:tc>
        <w:tc>
          <w:tcPr>
            <w:tcW w:w="2347" w:type="dxa"/>
          </w:tcPr>
          <w:p>
            <w:pPr/>
            <w:r>
              <w:t xml:space="preserve">Omar Azouz</w:t>
            </w:r>
          </w:p>
        </w:tc>
        <w:tc>
          <w:tcPr>
            <w:tcW w:w="5005" w:type="dxa"/>
          </w:tcPr>
          <w:p>
            <w:pPr/>
            <w:r>
              <w:t xml:space="preserve">Reconnaît la maladie d’une feuille sur une photo</w:t>
            </w:r>
          </w:p>
        </w:tc>
      </w:tr>
      <w:tr>
        <w:tc>
          <w:tcPr>
            <w:tcW w:w="2007" w:type="dxa"/>
          </w:tcPr>
          <w:p>
            <w:pPr/>
            <w:r>
              <w:t xml:space="preserve">M2 · Irrigation</w:t>
            </w:r>
          </w:p>
        </w:tc>
        <w:tc>
          <w:tcPr>
            <w:tcW w:w="2347" w:type="dxa"/>
          </w:tcPr>
          <w:p>
            <w:pPr/>
            <w:r>
              <w:t xml:space="preserve">Khadija Ben Ayed</w:t>
            </w:r>
          </w:p>
        </w:tc>
        <w:tc>
          <w:tcPr>
            <w:tcW w:w="5005" w:type="dxa"/>
          </w:tcPr>
          <w:p>
            <w:pPr/>
            <w:r>
              <w:t xml:space="preserve">Dit combien arroser aujourd’hui et alerte en cas de gel ou de canicule</w:t>
            </w:r>
          </w:p>
        </w:tc>
      </w:tr>
      <w:tr>
        <w:tc>
          <w:tcPr>
            <w:tcW w:w="2007" w:type="dxa"/>
          </w:tcPr>
          <w:p>
            <w:pPr/>
            <w:r>
              <w:t xml:space="preserve">M3 · Récolte</w:t>
            </w:r>
          </w:p>
        </w:tc>
        <w:tc>
          <w:tcPr>
            <w:tcW w:w="2347" w:type="dxa"/>
          </w:tcPr>
          <w:p>
            <w:pPr/>
            <w:r>
              <w:t xml:space="preserve">Med Amine Bejaoui</w:t>
            </w:r>
          </w:p>
        </w:tc>
        <w:tc>
          <w:tcPr>
            <w:tcW w:w="5005" w:type="dxa"/>
          </w:tcPr>
          <w:p>
            <w:pPr/>
            <w:r>
              <w:t xml:space="preserve">Estime la récolte de la saison</w:t>
            </w:r>
          </w:p>
        </w:tc>
      </w:tr>
      <w:tr>
        <w:tc>
          <w:tcPr>
            <w:tcW w:w="2007" w:type="dxa"/>
          </w:tcPr>
          <w:p>
            <w:pPr/>
            <w:r>
              <w:t xml:space="preserve">M4 · Prix</w:t>
            </w:r>
          </w:p>
        </w:tc>
        <w:tc>
          <w:tcPr>
            <w:tcW w:w="2347" w:type="dxa"/>
          </w:tcPr>
          <w:p>
            <w:pPr/>
            <w:r>
              <w:t xml:space="preserve">Emna Dorai</w:t>
            </w:r>
          </w:p>
        </w:tc>
        <w:tc>
          <w:tcPr>
            <w:tcW w:w="5005" w:type="dxa"/>
          </w:tcPr>
          <w:p>
            <w:pPr/>
            <w:r>
              <w:t xml:space="preserve">Prévoit le prix de l’huile et conseille de vendre ou de stocker</w:t>
            </w:r>
          </w:p>
        </w:tc>
      </w:tr>
      <w:tr>
        <w:tc>
          <w:tcPr>
            <w:tcW w:w="2007" w:type="dxa"/>
          </w:tcPr>
          <w:p>
            <w:pPr/>
            <w:r>
              <w:t xml:space="preserve">M5 · Assistant</w:t>
            </w:r>
          </w:p>
        </w:tc>
        <w:tc>
          <w:tcPr>
            <w:tcW w:w="2347" w:type="dxa"/>
          </w:tcPr>
          <w:p>
            <w:pPr/>
            <w:r>
              <w:t xml:space="preserve">Rima Jenhani</w:t>
            </w:r>
          </w:p>
        </w:tc>
        <w:tc>
          <w:tcPr>
            <w:tcW w:w="5005" w:type="dxa"/>
          </w:tcPr>
          <w:p>
            <w:pPr/>
            <w:r>
              <w:t xml:space="preserve">Répond aux questions écrites en derja</w:t>
            </w:r>
          </w:p>
        </w:tc>
      </w:tr>
      <w:tr>
        <w:tc>
          <w:tcPr>
            <w:tcW w:w="2007" w:type="dxa"/>
          </w:tcPr>
          <w:p>
            <w:pPr/>
            <w:r>
              <w:t xml:space="preserve">M6 · Comptage</w:t>
            </w:r>
          </w:p>
        </w:tc>
        <w:tc>
          <w:tcPr>
            <w:tcW w:w="2347" w:type="dxa"/>
          </w:tcPr>
          <w:p>
            <w:pPr/>
            <w:r>
              <w:t xml:space="preserve">Aziz Dlissi</w:t>
            </w:r>
          </w:p>
        </w:tc>
        <w:tc>
          <w:tcPr>
            <w:tcW w:w="5005" w:type="dxa"/>
          </w:tcPr>
          <w:p>
            <w:pPr/>
            <w:r>
              <w:t xml:space="preserve">Compte les oliviers sur une image vue du ciel</w:t>
            </w:r>
          </w:p>
        </w:tc>
      </w:tr>
    </w:tbl>
    <w:p>
      <w:pPr>
        <w:pStyle w:val="Heading2"/>
      </w:pPr>
      <w:r>
        <w:t xml:space="preserve">3. Comment ça marche</w:t>
      </w:r>
    </w:p>
    <w:p>
      <w:pPr/>
      <w:r>
        <w:t xml:space="preserve">L’application a trois parties :</w:t>
      </w:r>
    </w:p>
    <w:p>
      <w:pPr>
        <w:pStyle w:val="ListParagraph"/>
        <w:numPr>
          <w:ilvl w:val="0"/>
          <w:numId w:val="2"/>
        </w:numPr>
      </w:pPr>
      <w:r>
        <w:rPr>
          <w:b/>
        </w:rPr>
        <w:t xml:space="preserve">Le frontend</w:t>
      </w:r>
      <w:r>
        <w:t xml:space="preserve"> (Angular) : les pages que l’utilisateur voit dans son navigateur.</w:t>
      </w:r>
    </w:p>
    <w:p>
      <w:pPr>
        <w:pStyle w:val="ListParagraph"/>
        <w:numPr>
          <w:ilvl w:val="0"/>
          <w:numId w:val="2"/>
        </w:numPr>
      </w:pPr>
      <w:r>
        <w:rPr>
          <w:b/>
        </w:rPr>
        <w:t xml:space="preserve">Le backend</w:t>
      </w:r>
      <w:r>
        <w:t xml:space="preserve"> (Spring Boot et PostgreSQL) : il vérifie qui est connecté, enregistre les données et appelle les modules d’IA.</w:t>
      </w:r>
    </w:p>
    <w:p>
      <w:pPr>
        <w:pStyle w:val="ListParagraph"/>
        <w:numPr>
          <w:ilvl w:val="0"/>
          <w:numId w:val="2"/>
        </w:numPr>
      </w:pPr>
      <w:r>
        <w:rPr>
          <w:b/>
        </w:rPr>
        <w:t xml:space="preserve">Les six services d’IA</w:t>
      </w:r>
      <w:r>
        <w:t xml:space="preserve"> (Python, FastAPI) : un service par module.</w:t>
      </w:r>
    </w:p>
    <w:p>
      <w:pPr/>
      <w:r>
        <w:t xml:space="preserve">Tout se lance sur un seul PC avec la commande </w:t>
      </w:r>
      <w:r>
        <w:rPr>
          <w:rStyle w:val="CodeChar"/>
        </w:rPr>
        <w:t xml:space="preserve">docker compose up -d</w:t>
      </w:r>
      <w:r>
        <w:t xml:space="preserve">, puis l’application s’ouvre sur http://localhost:4200.</w:t>
      </w:r>
    </w:p>
    <w:p>
      <w:pPr/>
      <w:r>
        <w:t xml:space="preserve">Il y a deux types de comptes :</w:t>
      </w:r>
    </w:p>
    <w:p>
      <w:pPr>
        <w:pStyle w:val="ListParagraph"/>
        <w:numPr>
          <w:ilvl w:val="0"/>
          <w:numId w:val="3"/>
        </w:numPr>
      </w:pPr>
      <w:r>
        <w:rPr>
          <w:b/>
        </w:rPr>
        <w:t xml:space="preserve">L’agriculteur</w:t>
      </w:r>
      <w:r>
        <w:t xml:space="preserve"> ajoute ses parcelles et utilise les six outils ; ses résultats sont gardés dans son historique.</w:t>
      </w:r>
    </w:p>
    <w:p>
      <w:pPr>
        <w:pStyle w:val="ListParagraph"/>
        <w:numPr>
          <w:ilvl w:val="0"/>
          <w:numId w:val="3"/>
        </w:numPr>
      </w:pPr>
      <w:r>
        <w:rPr>
          <w:b/>
        </w:rPr>
        <w:t xml:space="preserve">L’administrateur</w:t>
      </w:r>
      <w:r>
        <w:t xml:space="preserve"> (un seul compte) voit les statistiques, gère les comptes et les parcelles, et suit l’état des six modèles.</w:t>
      </w:r>
    </w:p>
    <w:p>
      <w:pPr>
        <w:pStyle w:val="Heading2"/>
      </w:pPr>
      <w:r>
        <w:t xml:space="preserve">4. Les données</w:t>
      </w:r>
    </w:p>
    <w:p>
      <w:pPr/>
      <w:r>
        <w:t xml:space="preserve">Toutes les données sont réelles et publiques :</w:t>
      </w:r>
    </w:p>
    <w:p>
      <w:pPr>
        <w:pStyle w:val="ListParagraph"/>
        <w:numPr>
          <w:ilvl w:val="0"/>
          <w:numId w:val="4"/>
        </w:numPr>
      </w:pPr>
      <w:r>
        <w:rPr>
          <w:b/>
        </w:rPr>
        <w:t xml:space="preserve">M1</w:t>
      </w:r>
      <w:r>
        <w:t xml:space="preserve"> : 3 400 photos de feuilles d’olivier (Kaggle).</w:t>
      </w:r>
    </w:p>
    <w:p>
      <w:pPr>
        <w:pStyle w:val="ListParagraph"/>
        <w:numPr>
          <w:ilvl w:val="0"/>
          <w:numId w:val="4"/>
        </w:numPr>
      </w:pPr>
      <w:r>
        <w:rPr>
          <w:b/>
        </w:rPr>
        <w:t xml:space="preserve">M2 et M3</w:t>
      </w:r>
      <w:r>
        <w:t xml:space="preserve"> : météo de 12 gouvernorats (Open-Meteo) et production d’olives de la Tunisie depuis 1961 (FAO).</w:t>
      </w:r>
    </w:p>
    <w:p>
      <w:pPr>
        <w:pStyle w:val="ListParagraph"/>
        <w:numPr>
          <w:ilvl w:val="0"/>
          <w:numId w:val="4"/>
        </w:numPr>
      </w:pPr>
      <w:r>
        <w:rPr>
          <w:b/>
        </w:rPr>
        <w:t xml:space="preserve">M4</w:t>
      </w:r>
      <w:r>
        <w:t xml:space="preserve"> : prix mondial de l’huile d’olive depuis 1992 (FMI), converti en dinars.</w:t>
      </w:r>
    </w:p>
    <w:p>
      <w:pPr>
        <w:pStyle w:val="ListParagraph"/>
        <w:numPr>
          <w:ilvl w:val="0"/>
          <w:numId w:val="4"/>
        </w:numPr>
      </w:pPr>
      <w:r>
        <w:rPr>
          <w:b/>
        </w:rPr>
        <w:t xml:space="preserve">M5</w:t>
      </w:r>
      <w:r>
        <w:t xml:space="preserve"> : 500 questions écrites par l’équipe, en derja, en arabe et en français.</w:t>
      </w:r>
    </w:p>
    <w:p>
      <w:pPr>
        <w:pStyle w:val="ListParagraph"/>
        <w:numPr>
          <w:ilvl w:val="0"/>
          <w:numId w:val="4"/>
        </w:numPr>
      </w:pPr>
      <w:r>
        <w:rPr>
          <w:b/>
        </w:rPr>
        <w:t xml:space="preserve">M6</w:t>
      </w:r>
      <w:r>
        <w:t xml:space="preserve"> : images vues du ciel envoyées par l’utilisateur.</w:t>
      </w:r>
    </w:p>
    <w:p>
      <w:pPr>
        <w:pStyle w:val="Heading2"/>
      </w:pPr>
      <w:r>
        <w:t xml:space="preserve">5. Les résultats</w:t>
      </w:r>
    </w:p>
    <w:p>
      <w:pPr/>
      <w:r>
        <w:t xml:space="preserve">Pour chaque module, nous avons comparé notre modèle à une méthode simple. Notre modèle fait toujours mieux.</w:t>
      </w:r>
    </w:p>
    <w:tbl>
      <w:tblPr>
        <w:tblStyle w:val="TableGrid"/>
        <w:tblW w:w="0" w:type="auto"/>
        <w:tblLayout w:type="fixed"/>
        <w:tblLook w:val="04A0" w:firstRow="1" w:lastRow="0" w:firstColumn="0" w:lastColumn="0" w:noHBand="0" w:noVBand="1"/>
      </w:tblPr>
      <w:tblGrid>
        <w:gridCol w:w="1973"/>
        <w:gridCol w:w="2620"/>
        <w:gridCol w:w="1888"/>
        <w:gridCol w:w="2878"/>
      </w:tblGrid>
      <w:tr>
        <w:trPr>
          <w:tblHeader/>
        </w:trPr>
        <w:tc>
          <w:tcPr>
            <w:tcW w:w="1973" w:type="dxa"/>
            <w:shd w:val="clear" w:color="auto" w:fill="F2F2F2"/>
          </w:tcPr>
          <w:p>
            <w:pPr/>
            <w:r>
              <w:t xml:space="preserve">Module</w:t>
            </w:r>
          </w:p>
        </w:tc>
        <w:tc>
          <w:tcPr>
            <w:tcW w:w="2620" w:type="dxa"/>
            <w:shd w:val="clear" w:color="auto" w:fill="F2F2F2"/>
          </w:tcPr>
          <w:p>
            <w:pPr/>
            <w:r>
              <w:t xml:space="preserve">Méthode simple</w:t>
            </w:r>
          </w:p>
        </w:tc>
        <w:tc>
          <w:tcPr>
            <w:tcW w:w="1888" w:type="dxa"/>
            <w:shd w:val="clear" w:color="auto" w:fill="F2F2F2"/>
          </w:tcPr>
          <w:p>
            <w:pPr/>
            <w:r>
              <w:t xml:space="preserve">Notre modèle</w:t>
            </w:r>
          </w:p>
        </w:tc>
        <w:tc>
          <w:tcPr>
            <w:tcW w:w="2878" w:type="dxa"/>
            <w:shd w:val="clear" w:color="auto" w:fill="F2F2F2"/>
          </w:tcPr>
          <w:p>
            <w:pPr/>
            <w:r>
              <w:t xml:space="preserve">Résultat</w:t>
            </w:r>
          </w:p>
        </w:tc>
      </w:tr>
      <w:tr>
        <w:tc>
          <w:tcPr>
            <w:tcW w:w="1973" w:type="dxa"/>
          </w:tcPr>
          <w:p>
            <w:pPr/>
            <w:r>
              <w:t xml:space="preserve">M1 · Maladies</w:t>
            </w:r>
          </w:p>
        </w:tc>
        <w:tc>
          <w:tcPr>
            <w:tcW w:w="2620" w:type="dxa"/>
          </w:tcPr>
          <w:p>
            <w:pPr/>
            <w:r>
              <w:t xml:space="preserve">Petit réseau : 75 % de bonnes réponses</w:t>
            </w:r>
          </w:p>
        </w:tc>
        <w:tc>
          <w:tcPr>
            <w:tcW w:w="1888" w:type="dxa"/>
          </w:tcPr>
          <w:p>
            <w:pPr/>
            <w:r>
              <w:t xml:space="preserve">MobileNetV3 : 97 %</w:t>
            </w:r>
          </w:p>
        </w:tc>
        <w:tc>
          <w:tcPr>
            <w:tcW w:w="2878" w:type="dxa"/>
          </w:tcPr>
          <w:p>
            <w:pPr/>
            <w:r>
              <w:t xml:space="preserve">+22 points</w:t>
            </w:r>
          </w:p>
        </w:tc>
      </w:tr>
      <w:tr>
        <w:tc>
          <w:tcPr>
            <w:tcW w:w="1973" w:type="dxa"/>
          </w:tcPr>
          <w:p>
            <w:pPr/>
            <w:r>
              <w:t xml:space="preserve">M2 · Irrigation</w:t>
            </w:r>
          </w:p>
        </w:tc>
        <w:tc>
          <w:tcPr>
            <w:tcW w:w="2620" w:type="dxa"/>
          </w:tcPr>
          <w:p>
            <w:pPr/>
            <w:r>
              <w:t xml:space="preserve">« Comme l’an dernier »</w:t>
            </w:r>
          </w:p>
        </w:tc>
        <w:tc>
          <w:tcPr>
            <w:tcW w:w="1888" w:type="dxa"/>
          </w:tcPr>
          <w:p>
            <w:pPr/>
            <w:r>
              <w:t xml:space="preserve">LSTM</w:t>
            </w:r>
          </w:p>
        </w:tc>
        <w:tc>
          <w:tcPr>
            <w:tcW w:w="2878" w:type="dxa"/>
          </w:tcPr>
          <w:p>
            <w:pPr/>
            <w:r>
              <w:t xml:space="preserve">33 % d’erreur en moins</w:t>
            </w:r>
          </w:p>
        </w:tc>
      </w:tr>
      <w:tr>
        <w:tc>
          <w:tcPr>
            <w:tcW w:w="1973" w:type="dxa"/>
          </w:tcPr>
          <w:p>
            <w:pPr/>
            <w:r>
              <w:t xml:space="preserve">M3 · Récolte</w:t>
            </w:r>
          </w:p>
        </w:tc>
        <w:tc>
          <w:tcPr>
            <w:tcW w:w="2620" w:type="dxa"/>
          </w:tcPr>
          <w:p>
            <w:pPr/>
            <w:r>
              <w:t xml:space="preserve">Régression linéaire</w:t>
            </w:r>
          </w:p>
        </w:tc>
        <w:tc>
          <w:tcPr>
            <w:tcW w:w="1888" w:type="dxa"/>
          </w:tcPr>
          <w:p>
            <w:pPr/>
            <w:r>
              <w:t xml:space="preserve">Random Forest</w:t>
            </w:r>
          </w:p>
        </w:tc>
        <w:tc>
          <w:tcPr>
            <w:tcW w:w="2878" w:type="dxa"/>
          </w:tcPr>
          <w:p>
            <w:pPr/>
            <w:r>
              <w:t xml:space="preserve">27 % d’erreur en moins</w:t>
            </w:r>
          </w:p>
        </w:tc>
      </w:tr>
      <w:tr>
        <w:tc>
          <w:tcPr>
            <w:tcW w:w="1973" w:type="dxa"/>
          </w:tcPr>
          <w:p>
            <w:pPr/>
            <w:r>
              <w:t xml:space="preserve">M4 · Prix</w:t>
            </w:r>
          </w:p>
        </w:tc>
        <w:tc>
          <w:tcPr>
            <w:tcW w:w="2620" w:type="dxa"/>
          </w:tcPr>
          <w:p>
            <w:pPr/>
            <w:r>
              <w:t xml:space="preserve">« Le prix ne change pas »</w:t>
            </w:r>
          </w:p>
        </w:tc>
        <w:tc>
          <w:tcPr>
            <w:tcW w:w="1888" w:type="dxa"/>
          </w:tcPr>
          <w:p>
            <w:pPr/>
            <w:r>
              <w:t xml:space="preserve">SARIMA</w:t>
            </w:r>
          </w:p>
        </w:tc>
        <w:tc>
          <w:tcPr>
            <w:tcW w:w="2878" w:type="dxa"/>
          </w:tcPr>
          <w:p>
            <w:pPr/>
            <w:r>
              <w:t xml:space="preserve">Conseil gagnant : +0,10 TND par kg</w:t>
            </w:r>
          </w:p>
        </w:tc>
      </w:tr>
      <w:tr>
        <w:tc>
          <w:tcPr>
            <w:tcW w:w="1973" w:type="dxa"/>
          </w:tcPr>
          <w:p>
            <w:pPr/>
            <w:r>
              <w:t xml:space="preserve">M5 · Assistant</w:t>
            </w:r>
          </w:p>
        </w:tc>
        <w:tc>
          <w:tcPr>
            <w:tcW w:w="2620" w:type="dxa"/>
          </w:tcPr>
          <w:p>
            <w:pPr/>
            <w:r>
              <w:t xml:space="preserve">Mots simples</w:t>
            </w:r>
          </w:p>
        </w:tc>
        <w:tc>
          <w:tcPr>
            <w:tcW w:w="1888" w:type="dxa"/>
          </w:tcPr>
          <w:p>
            <w:pPr/>
            <w:r>
              <w:t xml:space="preserve">Groupes de lettres + Gemini</w:t>
            </w:r>
          </w:p>
        </w:tc>
        <w:tc>
          <w:tcPr>
            <w:tcW w:w="2878" w:type="dxa"/>
          </w:tcPr>
          <w:p>
            <w:pPr/>
            <w:r>
              <w:t xml:space="preserve">19 questions sur 25 bien comprises</w:t>
            </w:r>
          </w:p>
        </w:tc>
      </w:tr>
      <w:tr>
        <w:tc>
          <w:tcPr>
            <w:tcW w:w="1973" w:type="dxa"/>
          </w:tcPr>
          <w:p>
            <w:pPr/>
            <w:r>
              <w:t xml:space="preserve">M6 · Comptage</w:t>
            </w:r>
          </w:p>
        </w:tc>
        <w:tc>
          <w:tcPr>
            <w:tcW w:w="2620" w:type="dxa"/>
          </w:tcPr>
          <w:p>
            <w:pPr/>
            <w:r>
              <w:t xml:space="preserve">—</w:t>
            </w:r>
          </w:p>
        </w:tc>
        <w:tc>
          <w:tcPr>
            <w:tcW w:w="1888" w:type="dxa"/>
          </w:tcPr>
          <w:p>
            <w:pPr/>
            <w:r>
              <w:t xml:space="preserve">OpenCV</w:t>
            </w:r>
          </w:p>
        </w:tc>
        <w:tc>
          <w:tcPr>
            <w:tcW w:w="2878" w:type="dxa"/>
          </w:tcPr>
          <w:p>
            <w:pPr/>
            <w:r>
              <w:t xml:space="preserve">52 arbres trouvés sur 52</w:t>
            </w:r>
          </w:p>
        </w:tc>
      </w:tr>
    </w:tbl>
    <w:p>
      <w:pPr/>
      <w:r>
        <w:t xml:space="preserve">Quand le modèle n’est pas sûr de lui, il le dit : M1 demande une autre photo, et M5 pose une question au lieu de deviner.</w:t>
      </w:r>
    </w:p>
    <w:p>
      <w:pPr>
        <w:pStyle w:val="Heading2"/>
      </w:pPr>
      <w:r>
        <w:t xml:space="preserve">6. Qualité et sécurité</w:t>
      </w:r>
    </w:p>
    <w:p>
      <w:pPr>
        <w:pStyle w:val="ListParagraph"/>
        <w:numPr>
          <w:ilvl w:val="0"/>
          <w:numId w:val="5"/>
        </w:numPr>
      </w:pPr>
      <w:r>
        <w:rPr>
          <w:b/>
        </w:rPr>
        <w:t xml:space="preserve">154 tests automatiques</w:t>
      </w:r>
      <w:r>
        <w:t xml:space="preserve"> réussis : 44 pour le backend, 15 pour le frontend, 95 pour les services d’IA.</w:t>
      </w:r>
    </w:p>
    <w:p>
      <w:pPr>
        <w:pStyle w:val="ListParagraph"/>
        <w:numPr>
          <w:ilvl w:val="0"/>
          <w:numId w:val="5"/>
        </w:numPr>
      </w:pPr>
      <w:r>
        <w:t xml:space="preserve">Les mots de passe sont chiffrés (BCrypt) et chaque connexion donne un jeton valable 24 heures.</w:t>
      </w:r>
    </w:p>
    <w:p>
      <w:pPr>
        <w:pStyle w:val="ListParagraph"/>
        <w:numPr>
          <w:ilvl w:val="0"/>
          <w:numId w:val="5"/>
        </w:numPr>
      </w:pPr>
      <w:r>
        <w:t xml:space="preserve">Les clés secrètes restent dans le fichier </w:t>
      </w:r>
      <w:r>
        <w:rPr>
          <w:rStyle w:val="CodeChar"/>
        </w:rPr>
        <w:t xml:space="preserve">.env</w:t>
      </w:r>
      <w:r>
        <w:t xml:space="preserve">, jamais dans Git.</w:t>
      </w:r>
    </w:p>
    <w:p>
      <w:pPr>
        <w:pStyle w:val="ListParagraph"/>
        <w:numPr>
          <w:ilvl w:val="0"/>
          <w:numId w:val="5"/>
        </w:numPr>
      </w:pPr>
      <w:r>
        <w:t xml:space="preserve">L’assistant n’envoie jamais le nom ni l’e-mail de l’agriculteur au modèle de langage.</w:t>
      </w:r>
    </w:p>
    <w:p>
      <w:pPr>
        <w:pStyle w:val="Heading2"/>
      </w:pPr>
      <w:r>
        <w:t xml:space="preserve">7. Limites et suite</w:t>
      </w:r>
    </w:p>
    <w:tbl>
      <w:tblPr>
        <w:tblStyle w:val="TableGrid"/>
        <w:tblW w:w="0" w:type="auto"/>
        <w:tblLayout w:type="fixed"/>
        <w:tblLook w:val="04A0" w:firstRow="1" w:lastRow="0" w:firstColumn="0" w:lastColumn="0" w:noHBand="0" w:noVBand="1"/>
      </w:tblPr>
      <w:tblGrid>
        <w:gridCol w:w="4920"/>
        <w:gridCol w:w="4440"/>
      </w:tblGrid>
      <w:tr>
        <w:trPr>
          <w:tblHeader/>
        </w:trPr>
        <w:tc>
          <w:tcPr>
            <w:tcW w:w="4920" w:type="dxa"/>
            <w:shd w:val="clear" w:color="auto" w:fill="F2F2F2"/>
          </w:tcPr>
          <w:p>
            <w:pPr/>
            <w:r>
              <w:t xml:space="preserve">Limite</w:t>
            </w:r>
          </w:p>
        </w:tc>
        <w:tc>
          <w:tcPr>
            <w:tcW w:w="4440" w:type="dxa"/>
            <w:shd w:val="clear" w:color="auto" w:fill="F2F2F2"/>
          </w:tcPr>
          <w:p>
            <w:pPr/>
            <w:r>
              <w:t xml:space="preserve">Ce que nous ferions ensuite</w:t>
            </w:r>
          </w:p>
        </w:tc>
      </w:tr>
      <w:tr>
        <w:tc>
          <w:tcPr>
            <w:tcW w:w="4920" w:type="dxa"/>
          </w:tcPr>
          <w:p>
            <w:pPr/>
            <w:r>
              <w:t xml:space="preserve">M3 prévoit la récolte de tout le pays, pas d’une région</w:t>
            </w:r>
          </w:p>
        </w:tc>
        <w:tc>
          <w:tcPr>
            <w:tcW w:w="4440" w:type="dxa"/>
          </w:tcPr>
          <w:p>
            <w:pPr/>
            <w:r>
              <w:t xml:space="preserve">Utiliser les chiffres ONAGRI par gouvernorat</w:t>
            </w:r>
          </w:p>
        </w:tc>
      </w:tr>
      <w:tr>
        <w:tc>
          <w:tcPr>
            <w:tcW w:w="4920" w:type="dxa"/>
          </w:tcPr>
          <w:p>
            <w:pPr/>
            <w:r>
              <w:t xml:space="preserve">M4 utilise le prix mondial, pas le prix payé au producteur</w:t>
            </w:r>
          </w:p>
        </w:tc>
        <w:tc>
          <w:tcPr>
            <w:tcW w:w="4440" w:type="dxa"/>
          </w:tcPr>
          <w:p>
            <w:pPr/>
            <w:r>
              <w:t xml:space="preserve">Ajouter les prix tunisiens du COI</w:t>
            </w:r>
          </w:p>
        </w:tc>
      </w:tr>
      <w:tr>
        <w:tc>
          <w:tcPr>
            <w:tcW w:w="4920" w:type="dxa"/>
          </w:tcPr>
          <w:p>
            <w:pPr/>
            <w:r>
              <w:t xml:space="preserve">M5 a appris sur 500 questions seulement</w:t>
            </w:r>
          </w:p>
        </w:tc>
        <w:tc>
          <w:tcPr>
            <w:tcW w:w="4440" w:type="dxa"/>
          </w:tcPr>
          <w:p>
            <w:pPr/>
            <w:r>
              <w:t xml:space="preserve">Ajouter plus de questions</w:t>
            </w:r>
          </w:p>
        </w:tc>
      </w:tr>
      <w:tr>
        <w:tc>
          <w:tcPr>
            <w:tcW w:w="4920" w:type="dxa"/>
          </w:tcPr>
          <w:p>
            <w:pPr/>
            <w:r>
              <w:t xml:space="preserve">M6 utilise une méthode classique</w:t>
            </w:r>
          </w:p>
        </w:tc>
        <w:tc>
          <w:tcPr>
            <w:tcW w:w="4440" w:type="dxa"/>
          </w:tcPr>
          <w:p>
            <w:pPr/>
            <w:r>
              <w:t xml:space="preserve">Entraîner un modèle YOLOv8</w:t>
            </w:r>
          </w:p>
        </w:tc>
      </w:tr>
    </w:tbl>
    <w:p>
      <w:pPr>
        <w:pStyle w:val="Heading2"/>
      </w:pPr>
      <w:r>
        <w:t xml:space="preserve">8. Conclusion</w:t>
      </w:r>
    </w:p>
    <w:p>
      <w:pPr/>
      <w:r>
        <w:t xml:space="preserve">Les six modules fonctionnent ensemble dans une vraie application, avec des données réelles et des résultats mesurés. L’agriculteur peut, depuis un seul endroit, soigner ses arbres, arroser juste ce qu’il faut, prévoir sa récolte, choisir le bon moment pour vendre et poser ses questions dans sa langue.</w:t>
      </w:r>
    </w:p>
    <w:p>
      <w:pPr/>
      <w:r>
        <w:t xml:space="preserve">Le rapport détaillé, avec tous les chiffres et les méthodes, est disponible en annexe.</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0"/>
  </w:num>
  <w:num w:numId="5">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Zitouna AI — Rapport</dc:title>
  <dc:description>Claude Docs node/f900680e-9670@1 docx-w7</dc:description>
  <cp:revision>1</cp:revision>
</cp:coreProperties>
</file>