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3D4F1C"/>
          <w:sz w:val="36"/>
        </w:rPr>
        <w:t>Zitouna AI — Documentation individuelle</w:t>
      </w:r>
    </w:p>
    <w:p>
      <w:pPr>
        <w:jc w:val="center"/>
      </w:pPr>
      <w:r>
        <w:t>IA for Software Engineering · ESPRIT · 5SAE10 · 2026 – 2027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E8EDD9"/>
          </w:tcPr>
          <w:p>
            <w:r>
              <w:rPr>
                <w:b/>
              </w:rPr>
              <w:t>Membre</w:t>
            </w:r>
          </w:p>
        </w:tc>
        <w:tc>
          <w:tcPr>
            <w:tcW w:type="dxa" w:w="4320"/>
          </w:tcPr>
          <w:p>
            <w:r>
              <w:t>Emna Dorai</w:t>
            </w:r>
          </w:p>
        </w:tc>
      </w:tr>
      <w:tr>
        <w:tc>
          <w:tcPr>
            <w:tcW w:type="dxa" w:w="4320"/>
            <w:shd w:val="clear" w:color="auto" w:fill="E8EDD9"/>
          </w:tcPr>
          <w:p>
            <w:r>
              <w:rPr>
                <w:b/>
              </w:rPr>
              <w:t>Module d’IA</w:t>
            </w:r>
          </w:p>
        </w:tc>
        <w:tc>
          <w:tcPr>
            <w:tcW w:type="dxa" w:w="4320"/>
          </w:tcPr>
          <w:p>
            <w:r>
              <w:t>M4 · Prix et moment de vente</w:t>
            </w:r>
          </w:p>
        </w:tc>
      </w:tr>
      <w:tr>
        <w:tc>
          <w:tcPr>
            <w:tcW w:type="dxa" w:w="4320"/>
            <w:shd w:val="clear" w:color="auto" w:fill="E8EDD9"/>
          </w:tcPr>
          <w:p>
            <w:r>
              <w:rPr>
                <w:b/>
              </w:rPr>
              <w:t>Rôle transversal</w:t>
            </w:r>
          </w:p>
        </w:tc>
        <w:tc>
          <w:tcPr>
            <w:tcW w:type="dxa" w:w="4320"/>
          </w:tcPr>
          <w:p>
            <w:r>
              <w:t>Frontend</w:t>
            </w:r>
          </w:p>
        </w:tc>
      </w:tr>
      <w:tr>
        <w:tc>
          <w:tcPr>
            <w:tcW w:type="dxa" w:w="4320"/>
            <w:shd w:val="clear" w:color="auto" w:fill="E8EDD9"/>
          </w:tcPr>
          <w:p>
            <w:r>
              <w:rPr>
                <w:b/>
              </w:rPr>
              <w:t>Encadrant</w:t>
            </w:r>
          </w:p>
        </w:tc>
        <w:tc>
          <w:tcPr>
            <w:tcW w:type="dxa" w:w="4320"/>
          </w:tcPr>
          <w:p>
            <w:r>
              <w:t>Khemiri Akram</w:t>
            </w:r>
          </w:p>
        </w:tc>
      </w:tr>
    </w:tbl>
    <w:p>
      <w:r>
        <w:rPr>
          <w:b/>
          <w:color w:val="3D4F1C"/>
          <w:sz w:val="26"/>
        </w:rPr>
        <w:t>1. Outils d’IA générative utilisés</w:t>
      </w:r>
    </w:p>
    <w:p>
      <w:r>
        <w:t>À compléter : outils utilisés (Claude, Copilot, ChatGPT…) et pour quelles tâches.</w:t>
      </w:r>
    </w:p>
    <w:p>
      <w:r>
        <w:rPr>
          <w:b/>
          <w:color w:val="3D4F1C"/>
          <w:sz w:val="26"/>
        </w:rPr>
        <w:t>2. Journal des prompts et des interactions avec les LLM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3D4F1C"/>
          </w:tcPr>
          <w:p>
            <w:r/>
            <w:r>
              <w:rPr>
                <w:b/>
                <w:color w:val="FFFFFF"/>
              </w:rPr>
              <w:t>Prompt envoyé</w:t>
            </w:r>
          </w:p>
        </w:tc>
        <w:tc>
          <w:tcPr>
            <w:tcW w:type="dxa" w:w="2880"/>
            <w:shd w:val="clear" w:color="auto" w:fill="3D4F1C"/>
          </w:tcPr>
          <w:p>
            <w:r/>
            <w:r>
              <w:rPr>
                <w:b/>
                <w:color w:val="FFFFFF"/>
              </w:rPr>
              <w:t>Réponse / action de l’IA</w:t>
            </w:r>
          </w:p>
        </w:tc>
        <w:tc>
          <w:tcPr>
            <w:tcW w:type="dxa" w:w="2880"/>
            <w:shd w:val="clear" w:color="auto" w:fill="3D4F1C"/>
          </w:tcPr>
          <w:p>
            <w:r/>
            <w:r>
              <w:rPr>
                <w:b/>
                <w:color w:val="FFFFFF"/>
              </w:rPr>
              <w:t>Ce que j’ai gardé, corrigé et vérifié</w:t>
            </w:r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p>
      <w:r>
        <w:rPr>
          <w:b/>
          <w:color w:val="3D4F1C"/>
          <w:sz w:val="26"/>
        </w:rPr>
        <w:t>3. Justification du modèle choisi</w:t>
      </w:r>
    </w:p>
    <w:p>
      <w:r>
        <w:t>Comparé à la prévision naïve (11,73 % de MAPE) et à un LSTM (11,77 %) : SARIMA est le seul à battre la référence (11,33 %), donne un intervalle de confiance, et la marge de prudence de 4 % rend le conseil rentable (+0,10 TND/kg).</w:t>
      </w:r>
    </w:p>
    <w:p>
      <w:r>
        <w:rPr>
          <w:b/>
          <w:color w:val="3D4F1C"/>
          <w:sz w:val="26"/>
        </w:rPr>
        <w:t>4. Gain de productivité et limites de l’IA</w:t>
      </w:r>
    </w:p>
    <w:p>
      <w:r>
        <w:t>À compléter : tâches accélérées par l’IA, erreurs de l’IA que j’ai corrigées, limites rencontrées.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