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4F1C"/>
          <w:sz w:val="36"/>
        </w:rPr>
        <w:t>Zitouna AI — Documentation individuelle</w:t>
      </w:r>
    </w:p>
    <w:p>
      <w:pPr>
        <w:jc w:val="center"/>
      </w:pPr>
      <w:r>
        <w:t>IA for Software Engineering · ESPRIT · 5SAE10 · 2026 –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Membre</w:t>
            </w:r>
          </w:p>
        </w:tc>
        <w:tc>
          <w:tcPr>
            <w:tcW w:type="dxa" w:w="4320"/>
          </w:tcPr>
          <w:p>
            <w:r>
              <w:t>Med Amine Bejaoui</w:t>
            </w:r>
          </w:p>
        </w:tc>
      </w:tr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Module d’IA</w:t>
            </w:r>
          </w:p>
        </w:tc>
        <w:tc>
          <w:tcPr>
            <w:tcW w:type="dxa" w:w="4320"/>
          </w:tcPr>
          <w:p>
            <w:r>
              <w:t>M3 · Prévision de la récolte</w:t>
            </w:r>
          </w:p>
        </w:tc>
      </w:tr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Rôle transversal</w:t>
            </w:r>
          </w:p>
        </w:tc>
        <w:tc>
          <w:tcPr>
            <w:tcW w:type="dxa" w:w="4320"/>
          </w:tcPr>
          <w:p>
            <w:r>
              <w:t>Suivi des expériences, dépôt Git</w:t>
            </w:r>
          </w:p>
        </w:tc>
      </w:tr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Encadrant</w:t>
            </w:r>
          </w:p>
        </w:tc>
        <w:tc>
          <w:tcPr>
            <w:tcW w:type="dxa" w:w="4320"/>
          </w:tcPr>
          <w:p>
            <w:r>
              <w:t>Khemiri Akram</w:t>
            </w:r>
          </w:p>
        </w:tc>
      </w:tr>
    </w:tbl>
    <w:p>
      <w:r>
        <w:rPr>
          <w:b/>
          <w:color w:val="3D4F1C"/>
          <w:sz w:val="26"/>
        </w:rPr>
        <w:t>1. Outils d’IA générative utilisés</w:t>
      </w:r>
    </w:p>
    <w:p>
      <w:r>
        <w:t>À compléter : outils utilisés (Claude, Copilot, ChatGPT…) et pour quelles tâches.</w:t>
      </w:r>
    </w:p>
    <w:p>
      <w:r>
        <w:rPr>
          <w:b/>
          <w:color w:val="3D4F1C"/>
          <w:sz w:val="26"/>
        </w:rPr>
        <w:t>2. Journal des prompts et des interactions avec les 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4F1C"/>
          </w:tcPr>
          <w:p>
            <w:r/>
            <w:r>
              <w:rPr>
                <w:b/>
                <w:color w:val="FFFFFF"/>
              </w:rPr>
              <w:t>Prompt envoyé</w:t>
            </w:r>
          </w:p>
        </w:tc>
        <w:tc>
          <w:tcPr>
            <w:tcW w:type="dxa" w:w="2880"/>
            <w:shd w:val="clear" w:color="auto" w:fill="3D4F1C"/>
          </w:tcPr>
          <w:p>
            <w:r/>
            <w:r>
              <w:rPr>
                <w:b/>
                <w:color w:val="FFFFFF"/>
              </w:rPr>
              <w:t>Réponse / action de l’IA</w:t>
            </w:r>
          </w:p>
        </w:tc>
        <w:tc>
          <w:tcPr>
            <w:tcW w:type="dxa" w:w="2880"/>
            <w:shd w:val="clear" w:color="auto" w:fill="3D4F1C"/>
          </w:tcPr>
          <w:p>
            <w:r/>
            <w:r>
              <w:rPr>
                <w:b/>
                <w:color w:val="FFFFFF"/>
              </w:rPr>
              <w:t>Ce que j’ai gardé, corrigé et vérifié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  <w:color w:val="3D4F1C"/>
          <w:sz w:val="26"/>
        </w:rPr>
        <w:t>3. Justification du modèle choisi</w:t>
      </w:r>
    </w:p>
    <w:p>
      <w:r>
        <w:t>Comparé à la régression linéaire (55,7 % de MAPE), Ridge (52,3 %) et Gradient Boosting (46,0 %) en validation glissante : le Random Forest a la plus faible erreur (40,6 %) avec peu de données (une saison par an).</w:t>
      </w:r>
    </w:p>
    <w:p>
      <w:r>
        <w:rPr>
          <w:b/>
          <w:color w:val="3D4F1C"/>
          <w:sz w:val="26"/>
        </w:rPr>
        <w:t>4. Gain de productivité et limites de l’IA</w:t>
      </w:r>
    </w:p>
    <w:p>
      <w:r>
        <w:t>À compléter : tâches accélérées par l’IA, erreurs de l’IA que j’ai corrigées, limites rencontrées.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