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D4F1C"/>
          <w:sz w:val="36"/>
        </w:rPr>
        <w:t>Zitouna AI — Documentation individuelle</w:t>
      </w:r>
    </w:p>
    <w:p>
      <w:pPr>
        <w:jc w:val="center"/>
      </w:pPr>
      <w:r>
        <w:t>IA for Software Engineering · ESPRIT · 5SAE10 · 2026 – 2027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Membre</w:t>
            </w:r>
          </w:p>
        </w:tc>
        <w:tc>
          <w:tcPr>
            <w:tcW w:type="dxa" w:w="4320"/>
          </w:tcPr>
          <w:p>
            <w:r>
              <w:t>Rima Jenhani</w:t>
            </w:r>
          </w:p>
        </w:tc>
      </w:tr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Module d’IA</w:t>
            </w:r>
          </w:p>
        </w:tc>
        <w:tc>
          <w:tcPr>
            <w:tcW w:type="dxa" w:w="4320"/>
          </w:tcPr>
          <w:p>
            <w:r>
              <w:t>M5 · Assistant en derja</w:t>
            </w:r>
          </w:p>
        </w:tc>
      </w:tr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Rôle transversal</w:t>
            </w:r>
          </w:p>
        </w:tc>
        <w:tc>
          <w:tcPr>
            <w:tcW w:type="dxa" w:w="4320"/>
          </w:tcPr>
          <w:p>
            <w:r>
              <w:t>Rapport, tests, démonstration</w:t>
            </w:r>
          </w:p>
        </w:tc>
      </w:tr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Encadrant</w:t>
            </w:r>
          </w:p>
        </w:tc>
        <w:tc>
          <w:tcPr>
            <w:tcW w:type="dxa" w:w="4320"/>
          </w:tcPr>
          <w:p>
            <w:r>
              <w:t>Khemiri Akram</w:t>
            </w:r>
          </w:p>
        </w:tc>
      </w:tr>
    </w:tbl>
    <w:p>
      <w:r>
        <w:rPr>
          <w:b/>
          <w:color w:val="3D4F1C"/>
          <w:sz w:val="26"/>
        </w:rPr>
        <w:t>1. Outils d’IA générative utilisés</w:t>
      </w:r>
    </w:p>
    <w:p>
      <w:r>
        <w:t>À compléter : outils utilisés (Claude, Copilot, ChatGPT…) et pour quelles tâches.</w:t>
      </w:r>
    </w:p>
    <w:p>
      <w:r>
        <w:rPr>
          <w:b/>
          <w:color w:val="3D4F1C"/>
          <w:sz w:val="26"/>
        </w:rPr>
        <w:t>2. Journal des prompts et des interactions avec les LLM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D4F1C"/>
          </w:tcPr>
          <w:p>
            <w:r/>
            <w:r>
              <w:rPr>
                <w:b/>
                <w:color w:val="FFFFFF"/>
              </w:rPr>
              <w:t>Prompt envoyé</w:t>
            </w:r>
          </w:p>
        </w:tc>
        <w:tc>
          <w:tcPr>
            <w:tcW w:type="dxa" w:w="2880"/>
            <w:shd w:val="clear" w:color="auto" w:fill="3D4F1C"/>
          </w:tcPr>
          <w:p>
            <w:r/>
            <w:r>
              <w:rPr>
                <w:b/>
                <w:color w:val="FFFFFF"/>
              </w:rPr>
              <w:t>Réponse / action de l’IA</w:t>
            </w:r>
          </w:p>
        </w:tc>
        <w:tc>
          <w:tcPr>
            <w:tcW w:type="dxa" w:w="2880"/>
            <w:shd w:val="clear" w:color="auto" w:fill="3D4F1C"/>
          </w:tcPr>
          <w:p>
            <w:r/>
            <w:r>
              <w:rPr>
                <w:b/>
                <w:color w:val="FFFFFF"/>
              </w:rPr>
              <w:t>Ce que j’ai gardé, corrigé et vérifié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  <w:color w:val="3D4F1C"/>
          <w:sz w:val="26"/>
        </w:rPr>
        <w:t>3. Justification du modèle choisi</w:t>
      </w:r>
    </w:p>
    <w:p>
      <w:r>
        <w:t>Comparé au TF-IDF sur les mots (F1 macro 0,72) : le TF-IDF sur les caractères (0,75, 19/25 au test indépendant) absorbe l’orthographe variable de l’arabizi ; Gemini (avec Groq en secours) rédige la réponse en derja à partir des chiffres des modules.</w:t>
      </w:r>
    </w:p>
    <w:p>
      <w:r>
        <w:rPr>
          <w:b/>
          <w:color w:val="3D4F1C"/>
          <w:sz w:val="26"/>
        </w:rPr>
        <w:t>4. Gain de productivité et limites de l’IA</w:t>
      </w:r>
    </w:p>
    <w:p>
      <w:r>
        <w:t>À compléter : tâches accélérées par l’IA, erreurs de l’IA que j’ai corrigées, limites rencontrées.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