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Emna Dorai</w:t>
      </w:r>
    </w:p>
    <w:p>
      <w:pPr>
        <w:jc w:val="center"/>
      </w:pPr>
      <w:r>
        <w:rPr>
          <w:color w:val="3D4F1C"/>
          <w:sz w:val="26"/>
        </w:rPr>
        <w:t>M4 · Prix de l’huile et moment de vente</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Frontend</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M4 · Prix de l’huile et moment de vente de bout en bout : données, modèle, service FastAPI, intégration dans l’application et écran. Type d’IA : Séries temporelles · modèle statistique saisonnier. Rôle transversal : Frontend.</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Tests et Bandit</w:t>
            </w:r>
          </w:p>
        </w:tc>
        <w:tc>
          <w:tcPr>
            <w:tcW w:type="dxa" w:w="2835"/>
            <w:shd w:val="clear" w:color="auto" w:fill="F1F3E8"/>
          </w:tcPr>
          <w:p>
            <w:pPr>
              <w:spacing w:after="0"/>
            </w:pPr>
            <w:r/>
            <w:r>
              <w:rPr>
                <w:b w:val="0"/>
                <w:i w:val="0"/>
                <w:sz w:val="20"/>
              </w:rPr>
              <w:t>Contrôle des propositions de l’IA</w:t>
            </w:r>
          </w:p>
        </w:tc>
        <w:tc>
          <w:tcPr>
            <w:tcW w:type="dxa" w:w="4195"/>
            <w:shd w:val="clear" w:color="auto" w:fill="F1F3E8"/>
          </w:tcPr>
          <w:p>
            <w:pPr>
              <w:spacing w:after="0"/>
            </w:pPr>
            <w:r/>
            <w:r>
              <w:rPr>
                <w:b w:val="0"/>
                <w:i w:val="0"/>
                <w:sz w:val="20"/>
              </w:rPr>
              <w:t>Tests automatiques, analyse de sécurité</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spacing w:after="120"/>
      </w:pPr>
      <w:r>
        <w:rPr>
          <w:i w:val="0"/>
        </w:rPr>
        <w:t>Les prompts du journal sont reformulés en français correct et classés par phase du projet ; leur sens, les réponses de l’IA et les résultats sont ceux des échanges réels.</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Phase</w:t>
            </w:r>
          </w:p>
        </w:tc>
        <w:tc>
          <w:tcPr>
            <w:tcW w:type="dxa" w:w="2494"/>
            <w:shd w:val="clear" w:color="auto" w:fill="3D4F1C"/>
          </w:tcPr>
          <w:p>
            <w:pPr>
              <w:spacing w:after="0"/>
            </w:pPr>
            <w:r/>
            <w:r>
              <w:rPr>
                <w:b/>
                <w:i w:val="0"/>
                <w:color w:val="FFFFFF"/>
                <w:sz w:val="20"/>
              </w:rPr>
              <w:t>Prompt (reformulé)</w:t>
            </w:r>
          </w:p>
        </w:tc>
        <w:tc>
          <w:tcPr>
            <w:tcW w:type="dxa" w:w="2381"/>
            <w:shd w:val="clear" w:color="auto" w:fill="3D4F1C"/>
          </w:tcPr>
          <w:p>
            <w:pPr>
              <w:spacing w:after="0"/>
            </w:pPr>
            <w:r/>
            <w:r>
              <w:rPr>
                <w:b/>
                <w:i w:val="0"/>
                <w:color w:val="FFFFFF"/>
                <w:sz w:val="20"/>
              </w:rPr>
              <w:t>Réponse / action de l’IA</w:t>
            </w:r>
          </w:p>
        </w:tc>
        <w:tc>
          <w:tcPr>
            <w:tcW w:type="dxa" w:w="1984"/>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17/10/2026</w:t>
            </w:r>
          </w:p>
        </w:tc>
        <w:tc>
          <w:tcPr>
            <w:tcW w:type="dxa" w:w="1191"/>
          </w:tcPr>
          <w:p>
            <w:pPr>
              <w:spacing w:after="0"/>
            </w:pPr>
            <w:r/>
            <w:r>
              <w:rPr>
                <w:b w:val="0"/>
                <w:i w:val="0"/>
                <w:sz w:val="20"/>
              </w:rPr>
              <w:t>Modèle</w:t>
            </w:r>
          </w:p>
        </w:tc>
        <w:tc>
          <w:tcPr>
            <w:tcW w:type="dxa" w:w="2494"/>
          </w:tcPr>
          <w:p>
            <w:pPr>
              <w:spacing w:after="0"/>
            </w:pPr>
            <w:r/>
            <w:r>
              <w:rPr>
                <w:b w:val="0"/>
                <w:i w:val="0"/>
                <w:sz w:val="20"/>
              </w:rPr>
              <w:t>Réalise le module M4 : prévois le prix de l’huile d’olive avec un vrai modèle, comparé à une méthode simple.</w:t>
            </w:r>
          </w:p>
        </w:tc>
        <w:tc>
          <w:tcPr>
            <w:tcW w:type="dxa" w:w="2381"/>
          </w:tcPr>
          <w:p>
            <w:pPr>
              <w:spacing w:after="0"/>
            </w:pPr>
            <w:r/>
            <w:r>
              <w:rPr>
                <w:b w:val="0"/>
                <w:i w:val="0"/>
                <w:sz w:val="20"/>
              </w:rPr>
              <w:t>Comparaison naïf, LSTM et SARIMA sur le test 2021 → 2026</w:t>
            </w:r>
          </w:p>
        </w:tc>
        <w:tc>
          <w:tcPr>
            <w:tcW w:type="dxa" w:w="1984"/>
          </w:tcPr>
          <w:p>
            <w:pPr>
              <w:spacing w:after="0"/>
            </w:pPr>
            <w:r/>
            <w:r>
              <w:rPr>
                <w:b w:val="0"/>
                <w:i w:val="0"/>
                <w:sz w:val="20"/>
              </w:rPr>
              <w:t>SARIMA : MAPE 11,33 % (naïf : 11,73 %)</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Données</w:t>
            </w:r>
          </w:p>
        </w:tc>
        <w:tc>
          <w:tcPr>
            <w:tcW w:type="dxa" w:w="2494"/>
            <w:shd w:val="clear" w:color="auto" w:fill="F1F3E8"/>
          </w:tcPr>
          <w:p>
            <w:pPr>
              <w:spacing w:after="0"/>
            </w:pPr>
            <w:r/>
            <w:r>
              <w:rPr>
                <w:b w:val="0"/>
                <w:i w:val="0"/>
                <w:sz w:val="20"/>
              </w:rPr>
              <w:t>Utilise les vrais prix de l’huile d’olive au lieu de valeurs simulées.</w:t>
            </w:r>
          </w:p>
        </w:tc>
        <w:tc>
          <w:tcPr>
            <w:tcW w:type="dxa" w:w="2381"/>
            <w:shd w:val="clear" w:color="auto" w:fill="F1F3E8"/>
          </w:tcPr>
          <w:p>
            <w:pPr>
              <w:spacing w:after="0"/>
            </w:pPr>
            <w:r/>
            <w:r>
              <w:rPr>
                <w:b w:val="0"/>
                <w:i w:val="0"/>
                <w:sz w:val="20"/>
              </w:rPr>
              <w:t>Prix FMI convertis en dinars, SARIMA réajusté au démarrage</w:t>
            </w:r>
          </w:p>
        </w:tc>
        <w:tc>
          <w:tcPr>
            <w:tcW w:type="dxa" w:w="1984"/>
            <w:shd w:val="clear" w:color="auto" w:fill="F1F3E8"/>
          </w:tcPr>
          <w:p>
            <w:pPr>
              <w:spacing w:after="0"/>
            </w:pPr>
            <w:r/>
            <w:r>
              <w:rPr>
                <w:b w:val="0"/>
                <w:i w:val="0"/>
                <w:sz w:val="20"/>
              </w:rPr>
              <w:t>Prévision et intervalle visibles dans l’écran Prix</w:t>
            </w:r>
          </w:p>
        </w:tc>
      </w:tr>
      <w:tr>
        <w:tc>
          <w:tcPr>
            <w:tcW w:type="dxa" w:w="1361"/>
          </w:tcPr>
          <w:p>
            <w:pPr>
              <w:spacing w:after="0"/>
            </w:pPr>
            <w:r/>
            <w:r>
              <w:rPr>
                <w:b w:val="0"/>
                <w:i w:val="0"/>
                <w:sz w:val="20"/>
              </w:rPr>
              <w:t>17/10/2026</w:t>
            </w:r>
          </w:p>
        </w:tc>
        <w:tc>
          <w:tcPr>
            <w:tcW w:type="dxa" w:w="1191"/>
          </w:tcPr>
          <w:p>
            <w:pPr>
              <w:spacing w:after="0"/>
            </w:pPr>
            <w:r/>
            <w:r>
              <w:rPr>
                <w:b w:val="0"/>
                <w:i w:val="0"/>
                <w:sz w:val="20"/>
              </w:rPr>
              <w:t>Évaluation</w:t>
            </w:r>
          </w:p>
        </w:tc>
        <w:tc>
          <w:tcPr>
            <w:tcW w:type="dxa" w:w="2494"/>
          </w:tcPr>
          <w:p>
            <w:pPr>
              <w:spacing w:after="0"/>
            </w:pPr>
            <w:r/>
            <w:r>
              <w:rPr>
                <w:b w:val="0"/>
                <w:i w:val="0"/>
                <w:sz w:val="20"/>
              </w:rPr>
              <w:t>Le conseil « stocker » fait perdre de l’argent sur le test : corrige-le sans utiliser les données de test.</w:t>
            </w:r>
          </w:p>
        </w:tc>
        <w:tc>
          <w:tcPr>
            <w:tcW w:type="dxa" w:w="2381"/>
          </w:tcPr>
          <w:p>
            <w:pPr>
              <w:spacing w:after="0"/>
            </w:pPr>
            <w:r/>
            <w:r>
              <w:rPr>
                <w:b w:val="0"/>
                <w:i w:val="0"/>
                <w:sz w:val="20"/>
              </w:rPr>
              <w:t>Marge de prudence de 4 % choisie sur la validation 2017 → 2020</w:t>
            </w:r>
          </w:p>
        </w:tc>
        <w:tc>
          <w:tcPr>
            <w:tcW w:type="dxa" w:w="1984"/>
          </w:tcPr>
          <w:p>
            <w:pPr>
              <w:spacing w:after="0"/>
            </w:pPr>
            <w:r/>
            <w:r>
              <w:rPr>
                <w:b w:val="0"/>
                <w:i w:val="0"/>
                <w:sz w:val="20"/>
              </w:rPr>
              <w:t>Gain moyen −0,47 → +0,10 TND/kg ; 9 tests</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Prévision naïve (référence)</w:t>
            </w:r>
          </w:p>
        </w:tc>
        <w:tc>
          <w:tcPr>
            <w:tcW w:type="dxa" w:w="4535"/>
          </w:tcPr>
          <w:p>
            <w:pPr>
              <w:spacing w:after="0"/>
            </w:pPr>
            <w:r/>
            <w:r>
              <w:rPr>
                <w:b w:val="0"/>
                <w:i w:val="0"/>
                <w:sz w:val="20"/>
              </w:rPr>
              <w:t>MAPE 11,73 %</w:t>
            </w:r>
          </w:p>
        </w:tc>
      </w:tr>
      <w:tr>
        <w:tc>
          <w:tcPr>
            <w:tcW w:type="dxa" w:w="4876"/>
            <w:shd w:val="clear" w:color="auto" w:fill="F1F3E8"/>
          </w:tcPr>
          <w:p>
            <w:pPr>
              <w:spacing w:after="0"/>
            </w:pPr>
            <w:r/>
            <w:r>
              <w:rPr>
                <w:b w:val="0"/>
                <w:i w:val="0"/>
                <w:sz w:val="20"/>
              </w:rPr>
              <w:t>LSTM</w:t>
            </w:r>
          </w:p>
        </w:tc>
        <w:tc>
          <w:tcPr>
            <w:tcW w:type="dxa" w:w="4535"/>
            <w:shd w:val="clear" w:color="auto" w:fill="F1F3E8"/>
          </w:tcPr>
          <w:p>
            <w:pPr>
              <w:spacing w:after="0"/>
            </w:pPr>
            <w:r/>
            <w:r>
              <w:rPr>
                <w:b w:val="0"/>
                <w:i w:val="0"/>
                <w:sz w:val="20"/>
              </w:rPr>
              <w:t>MAPE 11,77 %</w:t>
            </w:r>
          </w:p>
        </w:tc>
      </w:tr>
      <w:tr>
        <w:tc>
          <w:tcPr>
            <w:tcW w:type="dxa" w:w="4876"/>
          </w:tcPr>
          <w:p>
            <w:pPr>
              <w:spacing w:after="0"/>
            </w:pPr>
            <w:r/>
            <w:r>
              <w:rPr>
                <w:b w:val="0"/>
                <w:i w:val="0"/>
                <w:sz w:val="20"/>
              </w:rPr>
              <w:t>SARIMA (0,1,1)(1,0,1)₁₂ (modèle retenu)</w:t>
            </w:r>
          </w:p>
        </w:tc>
        <w:tc>
          <w:tcPr>
            <w:tcW w:type="dxa" w:w="4535"/>
          </w:tcPr>
          <w:p>
            <w:pPr>
              <w:spacing w:after="0"/>
            </w:pPr>
            <w:r/>
            <w:r>
              <w:rPr>
                <w:b w:val="0"/>
                <w:i w:val="0"/>
                <w:sz w:val="20"/>
              </w:rPr>
              <w:t>MAPE 11,33 % · conseil +0,10 TND/kg</w:t>
            </w:r>
          </w:p>
        </w:tc>
      </w:tr>
    </w:tbl>
    <w:p>
      <w:pPr>
        <w:spacing w:after="40"/>
      </w:pPr>
    </w:p>
    <w:p>
      <w:pPr>
        <w:spacing w:after="120"/>
      </w:pPr>
      <w:r>
        <w:rPr>
          <w:i w:val="0"/>
        </w:rPr>
        <w:t>SARIMA est le seul modèle à battre la prévision naïve, fournit un intervalle de confiance, et la marge de prudence de 4 % choisie sur la validation rend le conseil « stocker » rentable (9 conseils sur 10 gagnants).</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Modélisation</w:t>
            </w:r>
          </w:p>
        </w:tc>
        <w:tc>
          <w:tcPr>
            <w:tcW w:type="dxa" w:w="3628"/>
          </w:tcPr>
          <w:p>
            <w:pPr>
              <w:spacing w:after="0"/>
            </w:pPr>
            <w:r/>
            <w:r>
              <w:rPr>
                <w:b w:val="0"/>
                <w:i w:val="0"/>
                <w:sz w:val="20"/>
              </w:rPr>
              <w:t>Trois modèles comparés sur les mêmes horizons</w:t>
            </w:r>
          </w:p>
        </w:tc>
        <w:tc>
          <w:tcPr>
            <w:tcW w:type="dxa" w:w="2948"/>
          </w:tcPr>
          <w:p>
            <w:pPr>
              <w:spacing w:after="0"/>
            </w:pPr>
            <w:r/>
            <w:r>
              <w:rPr>
                <w:b w:val="0"/>
                <w:i w:val="0"/>
                <w:sz w:val="20"/>
              </w:rPr>
              <w:t>Choix de l’ordre SARIMA à vérifier</w:t>
            </w:r>
          </w:p>
        </w:tc>
      </w:tr>
      <w:tr>
        <w:tc>
          <w:tcPr>
            <w:tcW w:type="dxa" w:w="2835"/>
            <w:shd w:val="clear" w:color="auto" w:fill="F1F3E8"/>
          </w:tcPr>
          <w:p>
            <w:pPr>
              <w:spacing w:after="0"/>
            </w:pPr>
            <w:r/>
            <w:r>
              <w:rPr>
                <w:b w:val="0"/>
                <w:i w:val="0"/>
                <w:sz w:val="20"/>
              </w:rPr>
              <w:t>Stratégie de vente</w:t>
            </w:r>
          </w:p>
        </w:tc>
        <w:tc>
          <w:tcPr>
            <w:tcW w:type="dxa" w:w="3628"/>
            <w:shd w:val="clear" w:color="auto" w:fill="F1F3E8"/>
          </w:tcPr>
          <w:p>
            <w:pPr>
              <w:spacing w:after="0"/>
            </w:pPr>
            <w:r/>
            <w:r>
              <w:rPr>
                <w:b w:val="0"/>
                <w:i w:val="0"/>
                <w:sz w:val="20"/>
              </w:rPr>
              <w:t>Simulation des 61 décisions de test</w:t>
            </w:r>
          </w:p>
        </w:tc>
        <w:tc>
          <w:tcPr>
            <w:tcW w:type="dxa" w:w="2948"/>
            <w:shd w:val="clear" w:color="auto" w:fill="F1F3E8"/>
          </w:tcPr>
          <w:p>
            <w:pPr>
              <w:spacing w:after="0"/>
            </w:pPr>
            <w:r/>
            <w:r>
              <w:rPr>
                <w:b w:val="0"/>
                <w:i w:val="0"/>
                <w:sz w:val="20"/>
              </w:rPr>
              <w:t>La marge doit venir de la validation, pas du test</w:t>
            </w:r>
          </w:p>
        </w:tc>
      </w:tr>
      <w:tr>
        <w:tc>
          <w:tcPr>
            <w:tcW w:type="dxa" w:w="2835"/>
          </w:tcPr>
          <w:p>
            <w:pPr>
              <w:spacing w:after="0"/>
            </w:pPr>
            <w:r/>
            <w:r>
              <w:rPr>
                <w:b w:val="0"/>
                <w:i w:val="0"/>
                <w:sz w:val="20"/>
              </w:rPr>
              <w:t>Frontend</w:t>
            </w:r>
          </w:p>
        </w:tc>
        <w:tc>
          <w:tcPr>
            <w:tcW w:type="dxa" w:w="3628"/>
          </w:tcPr>
          <w:p>
            <w:pPr>
              <w:spacing w:after="0"/>
            </w:pPr>
            <w:r/>
            <w:r>
              <w:rPr>
                <w:b w:val="0"/>
                <w:i w:val="0"/>
                <w:sz w:val="20"/>
              </w:rPr>
              <w:t>Graphique de prévision et page Prix</w:t>
            </w:r>
          </w:p>
        </w:tc>
        <w:tc>
          <w:tcPr>
            <w:tcW w:type="dxa" w:w="2948"/>
          </w:tcPr>
          <w:p>
            <w:pPr>
              <w:spacing w:after="0"/>
            </w:pPr>
            <w:r/>
            <w:r>
              <w:rPr>
                <w:b w:val="0"/>
                <w:i w:val="0"/>
                <w:sz w:val="20"/>
              </w:rPr>
              <w:t>Contrôle visuel nécessaire</w:t>
            </w:r>
          </w:p>
        </w:tc>
      </w:tr>
    </w:tbl>
    <w:p>
      <w:pPr>
        <w:spacing w:after="40"/>
      </w:pPr>
    </w:p>
    <w:p>
      <w:pPr>
        <w:pStyle w:val="Heading1"/>
      </w:pPr>
      <w:r>
        <w:t>7. Limites et bonnes pratiques retenues</w:t>
      </w:r>
    </w:p>
    <w:p>
      <w:pPr>
        <w:pStyle w:val="ListBullet"/>
      </w:pPr>
      <w:r>
        <w:t>Une bonne métrique de prévision ne suffit pas : il faut aussi évaluer la décision qui en découle.</w:t>
      </w:r>
    </w:p>
    <w:p>
      <w:pPr>
        <w:pStyle w:val="ListBullet"/>
      </w:pPr>
      <w:r>
        <w:t>Régler les paramètres sur la validation, jamais sur le test.</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aidé à comparer les modèles de prix et à détecter que le conseil brut perdait de l’argent ; la marge de prudence de 4 % rend le conseil rentable, avec une limite : le prix utilisé est le prix mondial.</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Emna Dorai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