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A07F1F"/>
          <w:sz w:val="22"/>
        </w:rPr>
        <w:t>ESPRIT · IA FOR SOFTWARE ENGINEERING</w:t>
      </w:r>
    </w:p>
    <w:p>
      <w:pPr>
        <w:spacing w:before="360"/>
        <w:jc w:val="center"/>
      </w:pPr>
      <w:r>
        <w:rPr>
          <w:rFonts w:ascii="Cambria" w:hAnsi="Cambria"/>
          <w:b/>
          <w:color w:val="3D4F1C"/>
          <w:sz w:val="60"/>
        </w:rPr>
        <w:t>Documentation individuelle</w:t>
      </w:r>
    </w:p>
    <w:p>
      <w:pPr>
        <w:jc w:val="center"/>
      </w:pPr>
      <w:r>
        <w:rPr>
          <w:color w:val="1D2214"/>
          <w:sz w:val="28"/>
        </w:rPr>
        <w:t>Usage de l’IA générative, prompts et justification du modèle</w:t>
      </w:r>
    </w:p>
    <w:p>
      <w:pPr>
        <w:spacing w:before="600"/>
        <w:jc w:val="center"/>
      </w:pPr>
      <w:r>
        <w:rPr>
          <w:rFonts w:ascii="Cambria" w:hAnsi="Cambria"/>
          <w:b/>
          <w:color w:val="1D2214"/>
          <w:sz w:val="44"/>
        </w:rPr>
        <w:t>Med Amine Bejaoui</w:t>
      </w:r>
    </w:p>
    <w:p>
      <w:pPr>
        <w:jc w:val="center"/>
      </w:pPr>
      <w:r>
        <w:rPr>
          <w:color w:val="3D4F1C"/>
          <w:sz w:val="26"/>
        </w:rPr>
        <w:t>M3 · Prévision de la récolte</w:t>
      </w:r>
    </w:p>
    <w:p/>
    <w:p/>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E8EDD9"/>
          </w:tcPr>
          <w:p>
            <w:pPr>
              <w:spacing w:after="0"/>
            </w:pPr>
            <w:r/>
            <w:r>
              <w:rPr>
                <w:b/>
                <w:i w:val="0"/>
                <w:sz w:val="20"/>
              </w:rPr>
              <w:t>Projet</w:t>
            </w:r>
          </w:p>
        </w:tc>
        <w:tc>
          <w:tcPr>
            <w:tcW w:type="dxa" w:w="5953"/>
          </w:tcPr>
          <w:p>
            <w:pPr>
              <w:spacing w:after="0"/>
            </w:pPr>
            <w:r/>
            <w:r>
              <w:rPr>
                <w:b w:val="0"/>
                <w:i w:val="0"/>
                <w:sz w:val="20"/>
              </w:rPr>
              <w:t>Zitouna AI — plateforme d’IA pour les petits oléiculteurs tunisiens</w:t>
            </w:r>
          </w:p>
        </w:tc>
      </w:tr>
      <w:tr>
        <w:tc>
          <w:tcPr>
            <w:tcW w:type="dxa" w:w="2835"/>
            <w:shd w:val="clear" w:color="auto" w:fill="E8EDD9"/>
          </w:tcPr>
          <w:p>
            <w:pPr>
              <w:spacing w:after="0"/>
            </w:pPr>
            <w:r/>
            <w:r>
              <w:rPr>
                <w:b/>
                <w:i w:val="0"/>
                <w:sz w:val="20"/>
              </w:rPr>
              <w:t>Rôle transversal</w:t>
            </w:r>
          </w:p>
        </w:tc>
        <w:tc>
          <w:tcPr>
            <w:tcW w:type="dxa" w:w="5953"/>
          </w:tcPr>
          <w:p>
            <w:pPr>
              <w:spacing w:after="0"/>
            </w:pPr>
            <w:r/>
            <w:r>
              <w:rPr>
                <w:b w:val="0"/>
                <w:i w:val="0"/>
                <w:sz w:val="20"/>
              </w:rPr>
              <w:t>Suivi des expériences, dépôt Git</w:t>
            </w:r>
          </w:p>
        </w:tc>
      </w:tr>
      <w:tr>
        <w:tc>
          <w:tcPr>
            <w:tcW w:type="dxa" w:w="2835"/>
            <w:shd w:val="clear" w:color="auto" w:fill="E8EDD9"/>
          </w:tcPr>
          <w:p>
            <w:pPr>
              <w:spacing w:after="0"/>
            </w:pPr>
            <w:r/>
            <w:r>
              <w:rPr>
                <w:b/>
                <w:i w:val="0"/>
                <w:sz w:val="20"/>
              </w:rPr>
              <w:t>Classe</w:t>
            </w:r>
          </w:p>
        </w:tc>
        <w:tc>
          <w:tcPr>
            <w:tcW w:type="dxa" w:w="5953"/>
          </w:tcPr>
          <w:p>
            <w:pPr>
              <w:spacing w:after="0"/>
            </w:pPr>
            <w:r/>
            <w:r>
              <w:rPr>
                <w:b w:val="0"/>
                <w:i w:val="0"/>
                <w:sz w:val="20"/>
              </w:rPr>
              <w:t>5SAE10</w:t>
            </w:r>
          </w:p>
        </w:tc>
      </w:tr>
      <w:tr>
        <w:tc>
          <w:tcPr>
            <w:tcW w:type="dxa" w:w="2835"/>
            <w:shd w:val="clear" w:color="auto" w:fill="E8EDD9"/>
          </w:tcPr>
          <w:p>
            <w:pPr>
              <w:spacing w:after="0"/>
            </w:pPr>
            <w:r/>
            <w:r>
              <w:rPr>
                <w:b/>
                <w:i w:val="0"/>
                <w:sz w:val="20"/>
              </w:rPr>
              <w:t>Encadrant</w:t>
            </w:r>
          </w:p>
        </w:tc>
        <w:tc>
          <w:tcPr>
            <w:tcW w:type="dxa" w:w="5953"/>
          </w:tcPr>
          <w:p>
            <w:pPr>
              <w:spacing w:after="0"/>
            </w:pPr>
            <w:r/>
            <w:r>
              <w:rPr>
                <w:b w:val="0"/>
                <w:i w:val="0"/>
                <w:sz w:val="20"/>
              </w:rPr>
              <w:t>Khemiri Akram</w:t>
            </w:r>
          </w:p>
        </w:tc>
      </w:tr>
      <w:tr>
        <w:tc>
          <w:tcPr>
            <w:tcW w:type="dxa" w:w="2835"/>
            <w:shd w:val="clear" w:color="auto" w:fill="E8EDD9"/>
          </w:tcPr>
          <w:p>
            <w:pPr>
              <w:spacing w:after="0"/>
            </w:pPr>
            <w:r/>
            <w:r>
              <w:rPr>
                <w:b/>
                <w:i w:val="0"/>
                <w:sz w:val="20"/>
              </w:rPr>
              <w:t>Année universitaire</w:t>
            </w:r>
          </w:p>
        </w:tc>
        <w:tc>
          <w:tcPr>
            <w:tcW w:type="dxa" w:w="5953"/>
          </w:tcPr>
          <w:p>
            <w:pPr>
              <w:spacing w:after="0"/>
            </w:pPr>
            <w:r/>
            <w:r>
              <w:rPr>
                <w:b w:val="0"/>
                <w:i w:val="0"/>
                <w:sz w:val="20"/>
              </w:rPr>
              <w:t>2026 – 2027</w:t>
            </w:r>
          </w:p>
        </w:tc>
      </w:tr>
    </w:tbl>
    <w:p>
      <w:r>
        <w:br w:type="page"/>
      </w:r>
    </w:p>
    <w:p>
      <w:pPr>
        <w:pStyle w:val="Heading1"/>
      </w:pPr>
      <w:r>
        <w:t>1. Contexte et rôle</w:t>
      </w:r>
    </w:p>
    <w:p>
      <w:pPr>
        <w:spacing w:after="120"/>
      </w:pPr>
      <w:r>
        <w:rPr>
          <w:i w:val="0"/>
        </w:rPr>
        <w:t>Dans le projet Zitouna AI, j’ai porté le module M3 · Prévision de la récolte de bout en bout : données, modèle, service FastAPI, intégration dans l’application et écran. Type d’IA : Régression sur données tabulaires. Rôle transversal : Suivi des expériences, dépôt Git.</w:t>
      </w:r>
    </w:p>
    <w:p>
      <w:pPr>
        <w:pStyle w:val="Heading1"/>
      </w:pPr>
      <w:r>
        <w:t>2. Outils d’IA générative utilisés</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381"/>
            <w:shd w:val="clear" w:color="auto" w:fill="3D4F1C"/>
          </w:tcPr>
          <w:p>
            <w:pPr>
              <w:spacing w:after="0"/>
            </w:pPr>
            <w:r/>
            <w:r>
              <w:rPr>
                <w:b/>
                <w:i w:val="0"/>
                <w:color w:val="FFFFFF"/>
                <w:sz w:val="20"/>
              </w:rPr>
              <w:t>Outil</w:t>
            </w:r>
          </w:p>
        </w:tc>
        <w:tc>
          <w:tcPr>
            <w:tcW w:type="dxa" w:w="2835"/>
            <w:shd w:val="clear" w:color="auto" w:fill="3D4F1C"/>
          </w:tcPr>
          <w:p>
            <w:pPr>
              <w:spacing w:after="0"/>
            </w:pPr>
            <w:r/>
            <w:r>
              <w:rPr>
                <w:b/>
                <w:i w:val="0"/>
                <w:color w:val="FFFFFF"/>
                <w:sz w:val="20"/>
              </w:rPr>
              <w:t>Nature</w:t>
            </w:r>
          </w:p>
        </w:tc>
        <w:tc>
          <w:tcPr>
            <w:tcW w:type="dxa" w:w="4195"/>
            <w:shd w:val="clear" w:color="auto" w:fill="3D4F1C"/>
          </w:tcPr>
          <w:p>
            <w:pPr>
              <w:spacing w:after="0"/>
            </w:pPr>
            <w:r/>
            <w:r>
              <w:rPr>
                <w:b/>
                <w:i w:val="0"/>
                <w:color w:val="FFFFFF"/>
                <w:sz w:val="20"/>
              </w:rPr>
              <w:t>Usage</w:t>
            </w:r>
          </w:p>
        </w:tc>
      </w:tr>
      <w:tr>
        <w:tc>
          <w:tcPr>
            <w:tcW w:type="dxa" w:w="2381"/>
          </w:tcPr>
          <w:p>
            <w:pPr>
              <w:spacing w:after="0"/>
            </w:pPr>
            <w:r/>
            <w:r>
              <w:rPr>
                <w:b w:val="0"/>
                <w:i w:val="0"/>
                <w:sz w:val="20"/>
              </w:rPr>
              <w:t>Claude Code (Anthropic)</w:t>
            </w:r>
          </w:p>
        </w:tc>
        <w:tc>
          <w:tcPr>
            <w:tcW w:type="dxa" w:w="2835"/>
          </w:tcPr>
          <w:p>
            <w:pPr>
              <w:spacing w:after="0"/>
            </w:pPr>
            <w:r/>
            <w:r>
              <w:rPr>
                <w:b w:val="0"/>
                <w:i w:val="0"/>
                <w:sz w:val="20"/>
              </w:rPr>
              <w:t>Assistant de développement connecté au dépôt</w:t>
            </w:r>
          </w:p>
        </w:tc>
        <w:tc>
          <w:tcPr>
            <w:tcW w:type="dxa" w:w="4195"/>
          </w:tcPr>
          <w:p>
            <w:pPr>
              <w:spacing w:after="0"/>
            </w:pPr>
            <w:r/>
            <w:r>
              <w:rPr>
                <w:b w:val="0"/>
                <w:i w:val="0"/>
                <w:sz w:val="20"/>
              </w:rPr>
              <w:t>Intégration du module : code, entraînement, tests, documentation</w:t>
            </w:r>
          </w:p>
        </w:tc>
      </w:tr>
      <w:tr>
        <w:tc>
          <w:tcPr>
            <w:tcW w:type="dxa" w:w="2381"/>
            <w:shd w:val="clear" w:color="auto" w:fill="F1F3E8"/>
          </w:tcPr>
          <w:p>
            <w:pPr>
              <w:spacing w:after="0"/>
            </w:pPr>
            <w:r/>
            <w:r>
              <w:rPr>
                <w:b w:val="0"/>
                <w:i w:val="0"/>
                <w:sz w:val="20"/>
              </w:rPr>
              <w:t>Tests et Bandit</w:t>
            </w:r>
          </w:p>
        </w:tc>
        <w:tc>
          <w:tcPr>
            <w:tcW w:type="dxa" w:w="2835"/>
            <w:shd w:val="clear" w:color="auto" w:fill="F1F3E8"/>
          </w:tcPr>
          <w:p>
            <w:pPr>
              <w:spacing w:after="0"/>
            </w:pPr>
            <w:r/>
            <w:r>
              <w:rPr>
                <w:b w:val="0"/>
                <w:i w:val="0"/>
                <w:sz w:val="20"/>
              </w:rPr>
              <w:t>Contrôle des propositions de l’IA</w:t>
            </w:r>
          </w:p>
        </w:tc>
        <w:tc>
          <w:tcPr>
            <w:tcW w:type="dxa" w:w="4195"/>
            <w:shd w:val="clear" w:color="auto" w:fill="F1F3E8"/>
          </w:tcPr>
          <w:p>
            <w:pPr>
              <w:spacing w:after="0"/>
            </w:pPr>
            <w:r/>
            <w:r>
              <w:rPr>
                <w:b w:val="0"/>
                <w:i w:val="0"/>
                <w:sz w:val="20"/>
              </w:rPr>
              <w:t>Tests automatiques, analyse de sécurité</w:t>
            </w:r>
          </w:p>
        </w:tc>
      </w:tr>
    </w:tbl>
    <w:p>
      <w:pPr>
        <w:spacing w:after="40"/>
      </w:pPr>
    </w:p>
    <w:p>
      <w:pPr>
        <w:pStyle w:val="Heading1"/>
      </w:pPr>
      <w:r>
        <w:t>3. Méthode de travail avec l’IA</w:t>
      </w:r>
    </w:p>
    <w:p>
      <w:pPr>
        <w:spacing w:after="120"/>
      </w:pPr>
      <w:r>
        <w:rPr>
          <w:i w:val="0"/>
        </w:rPr>
        <w:t>Le module a été intégré avec une boucle courte : une demande précise avec ses contraintes, une proposition de l’IA, une exécution réelle (entraînement, test, appel du service), puis une correction si le résultat ne convient pas. Aucun chiffre n’est gardé sans avoir été mesuré sur les données de test.</w:t>
      </w:r>
    </w:p>
    <w:p>
      <w:pPr>
        <w:spacing w:after="120"/>
      </w:pPr>
      <w:r>
        <w:rPr>
          <w:i w:val="0"/>
        </w:rPr>
        <w:t>Les prompts du journal sont reformulés en français correct et classés par phase du projet ; leur sens, les réponses de l’IA et les résultats sont ceux des échanges réels.</w:t>
      </w:r>
    </w:p>
    <w:p>
      <w:pPr>
        <w:pStyle w:val="Heading1"/>
      </w:pPr>
      <w:r>
        <w:t>4. Journal des prompts et des interactions</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1361"/>
            <w:shd w:val="clear" w:color="auto" w:fill="3D4F1C"/>
          </w:tcPr>
          <w:p>
            <w:pPr>
              <w:spacing w:after="0"/>
            </w:pPr>
            <w:r/>
            <w:r>
              <w:rPr>
                <w:b/>
                <w:i w:val="0"/>
                <w:color w:val="FFFFFF"/>
                <w:sz w:val="20"/>
              </w:rPr>
              <w:t>Date</w:t>
            </w:r>
          </w:p>
        </w:tc>
        <w:tc>
          <w:tcPr>
            <w:tcW w:type="dxa" w:w="1191"/>
            <w:shd w:val="clear" w:color="auto" w:fill="3D4F1C"/>
          </w:tcPr>
          <w:p>
            <w:pPr>
              <w:spacing w:after="0"/>
            </w:pPr>
            <w:r/>
            <w:r>
              <w:rPr>
                <w:b/>
                <w:i w:val="0"/>
                <w:color w:val="FFFFFF"/>
                <w:sz w:val="20"/>
              </w:rPr>
              <w:t>Phase</w:t>
            </w:r>
          </w:p>
        </w:tc>
        <w:tc>
          <w:tcPr>
            <w:tcW w:type="dxa" w:w="2494"/>
            <w:shd w:val="clear" w:color="auto" w:fill="3D4F1C"/>
          </w:tcPr>
          <w:p>
            <w:pPr>
              <w:spacing w:after="0"/>
            </w:pPr>
            <w:r/>
            <w:r>
              <w:rPr>
                <w:b/>
                <w:i w:val="0"/>
                <w:color w:val="FFFFFF"/>
                <w:sz w:val="20"/>
              </w:rPr>
              <w:t>Prompt (reformulé)</w:t>
            </w:r>
          </w:p>
        </w:tc>
        <w:tc>
          <w:tcPr>
            <w:tcW w:type="dxa" w:w="2381"/>
            <w:shd w:val="clear" w:color="auto" w:fill="3D4F1C"/>
          </w:tcPr>
          <w:p>
            <w:pPr>
              <w:spacing w:after="0"/>
            </w:pPr>
            <w:r/>
            <w:r>
              <w:rPr>
                <w:b/>
                <w:i w:val="0"/>
                <w:color w:val="FFFFFF"/>
                <w:sz w:val="20"/>
              </w:rPr>
              <w:t>Réponse / action de l’IA</w:t>
            </w:r>
          </w:p>
        </w:tc>
        <w:tc>
          <w:tcPr>
            <w:tcW w:type="dxa" w:w="1984"/>
            <w:shd w:val="clear" w:color="auto" w:fill="3D4F1C"/>
          </w:tcPr>
          <w:p>
            <w:pPr>
              <w:spacing w:after="0"/>
            </w:pPr>
            <w:r/>
            <w:r>
              <w:rPr>
                <w:b/>
                <w:i w:val="0"/>
                <w:color w:val="FFFFFF"/>
                <w:sz w:val="20"/>
              </w:rPr>
              <w:t>Vérification</w:t>
            </w:r>
          </w:p>
        </w:tc>
      </w:tr>
      <w:tr>
        <w:tc>
          <w:tcPr>
            <w:tcW w:type="dxa" w:w="1361"/>
          </w:tcPr>
          <w:p>
            <w:pPr>
              <w:spacing w:after="0"/>
            </w:pPr>
            <w:r/>
            <w:r>
              <w:rPr>
                <w:b w:val="0"/>
                <w:i w:val="0"/>
                <w:sz w:val="20"/>
              </w:rPr>
              <w:t>10/2026</w:t>
            </w:r>
          </w:p>
        </w:tc>
        <w:tc>
          <w:tcPr>
            <w:tcW w:type="dxa" w:w="1191"/>
          </w:tcPr>
          <w:p>
            <w:pPr>
              <w:spacing w:after="0"/>
            </w:pPr>
            <w:r/>
            <w:r>
              <w:rPr>
                <w:b w:val="0"/>
                <w:i w:val="0"/>
                <w:sz w:val="20"/>
              </w:rPr>
              <w:t>Analyse</w:t>
            </w:r>
          </w:p>
        </w:tc>
        <w:tc>
          <w:tcPr>
            <w:tcW w:type="dxa" w:w="2494"/>
          </w:tcPr>
          <w:p>
            <w:pPr>
              <w:spacing w:after="0"/>
            </w:pPr>
            <w:r/>
            <w:r>
              <w:rPr>
                <w:b w:val="0"/>
                <w:i w:val="0"/>
                <w:sz w:val="20"/>
              </w:rPr>
              <w:t>Les données régionales de l’ONAGRI ne sont pas en format ouvert : propose une solution de repli.</w:t>
            </w:r>
          </w:p>
        </w:tc>
        <w:tc>
          <w:tcPr>
            <w:tcW w:type="dxa" w:w="2381"/>
          </w:tcPr>
          <w:p>
            <w:pPr>
              <w:spacing w:after="0"/>
            </w:pPr>
            <w:r/>
            <w:r>
              <w:rPr>
                <w:b w:val="0"/>
                <w:i w:val="0"/>
                <w:sz w:val="20"/>
              </w:rPr>
              <w:t>Prévision nationale (plan B du projet) appliquée à la surface de la parcelle</w:t>
            </w:r>
          </w:p>
        </w:tc>
        <w:tc>
          <w:tcPr>
            <w:tcW w:type="dxa" w:w="1984"/>
          </w:tcPr>
          <w:p>
            <w:pPr>
              <w:spacing w:after="0"/>
            </w:pPr>
            <w:r/>
            <w:r>
              <w:rPr>
                <w:b w:val="0"/>
                <w:i w:val="0"/>
                <w:sz w:val="20"/>
              </w:rPr>
              <w:t>Champs scope et observed renvoyés par le service</w:t>
            </w:r>
          </w:p>
        </w:tc>
      </w:tr>
      <w:tr>
        <w:tc>
          <w:tcPr>
            <w:tcW w:type="dxa" w:w="1361"/>
            <w:shd w:val="clear" w:color="auto" w:fill="F1F3E8"/>
          </w:tcPr>
          <w:p>
            <w:pPr>
              <w:spacing w:after="0"/>
            </w:pPr>
            <w:r/>
            <w:r>
              <w:rPr>
                <w:b w:val="0"/>
                <w:i w:val="0"/>
                <w:sz w:val="20"/>
              </w:rPr>
              <w:t>10/2026</w:t>
            </w:r>
          </w:p>
        </w:tc>
        <w:tc>
          <w:tcPr>
            <w:tcW w:type="dxa" w:w="1191"/>
            <w:shd w:val="clear" w:color="auto" w:fill="F1F3E8"/>
          </w:tcPr>
          <w:p>
            <w:pPr>
              <w:spacing w:after="0"/>
            </w:pPr>
            <w:r/>
            <w:r>
              <w:rPr>
                <w:b w:val="0"/>
                <w:i w:val="0"/>
                <w:sz w:val="20"/>
              </w:rPr>
              <w:t>Modèle</w:t>
            </w:r>
          </w:p>
        </w:tc>
        <w:tc>
          <w:tcPr>
            <w:tcW w:type="dxa" w:w="2494"/>
            <w:shd w:val="clear" w:color="auto" w:fill="F1F3E8"/>
          </w:tcPr>
          <w:p>
            <w:pPr>
              <w:spacing w:after="0"/>
            </w:pPr>
            <w:r/>
            <w:r>
              <w:rPr>
                <w:b w:val="0"/>
                <w:i w:val="0"/>
                <w:sz w:val="20"/>
              </w:rPr>
              <w:t>Entraîne un vrai modèle de prévision de la récolte sur FAOSTAT et la météo ERA5, comparé à une référence.</w:t>
            </w:r>
          </w:p>
        </w:tc>
        <w:tc>
          <w:tcPr>
            <w:tcW w:type="dxa" w:w="2381"/>
            <w:shd w:val="clear" w:color="auto" w:fill="F1F3E8"/>
          </w:tcPr>
          <w:p>
            <w:pPr>
              <w:spacing w:after="0"/>
            </w:pPr>
            <w:r/>
            <w:r>
              <w:rPr>
                <w:b w:val="0"/>
                <w:i w:val="0"/>
                <w:sz w:val="20"/>
              </w:rPr>
              <w:t>Cinq modèles comparés en validation glissante 2005 → 2024</w:t>
            </w:r>
          </w:p>
        </w:tc>
        <w:tc>
          <w:tcPr>
            <w:tcW w:type="dxa" w:w="1984"/>
            <w:shd w:val="clear" w:color="auto" w:fill="F1F3E8"/>
          </w:tcPr>
          <w:p>
            <w:pPr>
              <w:spacing w:after="0"/>
            </w:pPr>
            <w:r/>
            <w:r>
              <w:rPr>
                <w:b w:val="0"/>
                <w:i w:val="0"/>
                <w:sz w:val="20"/>
              </w:rPr>
              <w:t>Random Forest : MAPE 40,6 % (linéaire : 55,7 %)</w:t>
            </w:r>
          </w:p>
        </w:tc>
      </w:tr>
      <w:tr>
        <w:tc>
          <w:tcPr>
            <w:tcW w:type="dxa" w:w="1361"/>
          </w:tcPr>
          <w:p>
            <w:pPr>
              <w:spacing w:after="0"/>
            </w:pPr>
            <w:r/>
            <w:r>
              <w:rPr>
                <w:b w:val="0"/>
                <w:i w:val="0"/>
                <w:sz w:val="20"/>
              </w:rPr>
              <w:t>10/2026</w:t>
            </w:r>
          </w:p>
        </w:tc>
        <w:tc>
          <w:tcPr>
            <w:tcW w:type="dxa" w:w="1191"/>
          </w:tcPr>
          <w:p>
            <w:pPr>
              <w:spacing w:after="0"/>
            </w:pPr>
            <w:r/>
            <w:r>
              <w:rPr>
                <w:b w:val="0"/>
                <w:i w:val="0"/>
                <w:sz w:val="20"/>
              </w:rPr>
              <w:t>Tests</w:t>
            </w:r>
          </w:p>
        </w:tc>
        <w:tc>
          <w:tcPr>
            <w:tcW w:type="dxa" w:w="2494"/>
          </w:tcPr>
          <w:p>
            <w:pPr>
              <w:spacing w:after="0"/>
            </w:pPr>
            <w:r/>
            <w:r>
              <w:rPr>
                <w:b w:val="0"/>
                <w:i w:val="0"/>
                <w:sz w:val="20"/>
              </w:rPr>
              <w:t>Un test d’entraînement de M3 échoue : trouve la cause et corrige-la.</w:t>
            </w:r>
          </w:p>
        </w:tc>
        <w:tc>
          <w:tcPr>
            <w:tcW w:type="dxa" w:w="2381"/>
          </w:tcPr>
          <w:p>
            <w:pPr>
              <w:spacing w:after="0"/>
            </w:pPr>
            <w:r/>
            <w:r>
              <w:rPr>
                <w:b w:val="0"/>
                <w:i w:val="0"/>
                <w:sz w:val="20"/>
              </w:rPr>
              <w:t>Saisons sans production connue exclues de l’ajustement (jusqu’à 2024)</w:t>
            </w:r>
          </w:p>
        </w:tc>
        <w:tc>
          <w:tcPr>
            <w:tcW w:type="dxa" w:w="1984"/>
          </w:tcPr>
          <w:p>
            <w:pPr>
              <w:spacing w:after="0"/>
            </w:pPr>
            <w:r/>
            <w:r>
              <w:rPr>
                <w:b w:val="0"/>
                <w:i w:val="0"/>
                <w:sz w:val="20"/>
              </w:rPr>
              <w:t>Test relancé et réussi ; 7 tests</w:t>
            </w:r>
          </w:p>
        </w:tc>
      </w:tr>
    </w:tbl>
    <w:p>
      <w:pPr>
        <w:spacing w:after="40"/>
      </w:pPr>
    </w:p>
    <w:p>
      <w:pPr>
        <w:pStyle w:val="Heading1"/>
      </w:pPr>
      <w:r>
        <w:t>5. Justification du modèle d’IA choisi</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4876"/>
            <w:shd w:val="clear" w:color="auto" w:fill="3D4F1C"/>
          </w:tcPr>
          <w:p>
            <w:pPr>
              <w:spacing w:after="0"/>
            </w:pPr>
            <w:r/>
            <w:r>
              <w:rPr>
                <w:b/>
                <w:i w:val="0"/>
                <w:color w:val="FFFFFF"/>
                <w:sz w:val="20"/>
              </w:rPr>
              <w:t>Modèle comparé</w:t>
            </w:r>
          </w:p>
        </w:tc>
        <w:tc>
          <w:tcPr>
            <w:tcW w:type="dxa" w:w="4535"/>
            <w:shd w:val="clear" w:color="auto" w:fill="3D4F1C"/>
          </w:tcPr>
          <w:p>
            <w:pPr>
              <w:spacing w:after="0"/>
            </w:pPr>
            <w:r/>
            <w:r>
              <w:rPr>
                <w:b/>
                <w:i w:val="0"/>
                <w:color w:val="FFFFFF"/>
                <w:sz w:val="20"/>
              </w:rPr>
              <w:t>Résultat sur les données de test</w:t>
            </w:r>
          </w:p>
        </w:tc>
      </w:tr>
      <w:tr>
        <w:tc>
          <w:tcPr>
            <w:tcW w:type="dxa" w:w="4876"/>
          </w:tcPr>
          <w:p>
            <w:pPr>
              <w:spacing w:after="0"/>
            </w:pPr>
            <w:r/>
            <w:r>
              <w:rPr>
                <w:b w:val="0"/>
                <w:i w:val="0"/>
                <w:sz w:val="20"/>
              </w:rPr>
              <w:t>Comme la saison précédente</w:t>
            </w:r>
          </w:p>
        </w:tc>
        <w:tc>
          <w:tcPr>
            <w:tcW w:type="dxa" w:w="4535"/>
          </w:tcPr>
          <w:p>
            <w:pPr>
              <w:spacing w:after="0"/>
            </w:pPr>
            <w:r/>
            <w:r>
              <w:rPr>
                <w:b w:val="0"/>
                <w:i w:val="0"/>
                <w:sz w:val="20"/>
              </w:rPr>
              <w:t>MAPE 60,7 %</w:t>
            </w:r>
          </w:p>
        </w:tc>
      </w:tr>
      <w:tr>
        <w:tc>
          <w:tcPr>
            <w:tcW w:type="dxa" w:w="4876"/>
            <w:shd w:val="clear" w:color="auto" w:fill="F1F3E8"/>
          </w:tcPr>
          <w:p>
            <w:pPr>
              <w:spacing w:after="0"/>
            </w:pPr>
            <w:r/>
            <w:r>
              <w:rPr>
                <w:b w:val="0"/>
                <w:i w:val="0"/>
                <w:sz w:val="20"/>
              </w:rPr>
              <w:t>Régression linéaire (référence)</w:t>
            </w:r>
          </w:p>
        </w:tc>
        <w:tc>
          <w:tcPr>
            <w:tcW w:type="dxa" w:w="4535"/>
            <w:shd w:val="clear" w:color="auto" w:fill="F1F3E8"/>
          </w:tcPr>
          <w:p>
            <w:pPr>
              <w:spacing w:after="0"/>
            </w:pPr>
            <w:r/>
            <w:r>
              <w:rPr>
                <w:b w:val="0"/>
                <w:i w:val="0"/>
                <w:sz w:val="20"/>
              </w:rPr>
              <w:t>MAPE 55,7 %</w:t>
            </w:r>
          </w:p>
        </w:tc>
      </w:tr>
      <w:tr>
        <w:tc>
          <w:tcPr>
            <w:tcW w:type="dxa" w:w="4876"/>
          </w:tcPr>
          <w:p>
            <w:pPr>
              <w:spacing w:after="0"/>
            </w:pPr>
            <w:r/>
            <w:r>
              <w:rPr>
                <w:b w:val="0"/>
                <w:i w:val="0"/>
                <w:sz w:val="20"/>
              </w:rPr>
              <w:t>Ridge</w:t>
            </w:r>
          </w:p>
        </w:tc>
        <w:tc>
          <w:tcPr>
            <w:tcW w:type="dxa" w:w="4535"/>
          </w:tcPr>
          <w:p>
            <w:pPr>
              <w:spacing w:after="0"/>
            </w:pPr>
            <w:r/>
            <w:r>
              <w:rPr>
                <w:b w:val="0"/>
                <w:i w:val="0"/>
                <w:sz w:val="20"/>
              </w:rPr>
              <w:t>MAPE 52,3 %</w:t>
            </w:r>
          </w:p>
        </w:tc>
      </w:tr>
      <w:tr>
        <w:tc>
          <w:tcPr>
            <w:tcW w:type="dxa" w:w="4876"/>
            <w:shd w:val="clear" w:color="auto" w:fill="F1F3E8"/>
          </w:tcPr>
          <w:p>
            <w:pPr>
              <w:spacing w:after="0"/>
            </w:pPr>
            <w:r/>
            <w:r>
              <w:rPr>
                <w:b w:val="0"/>
                <w:i w:val="0"/>
                <w:sz w:val="20"/>
              </w:rPr>
              <w:t>Gradient Boosting</w:t>
            </w:r>
          </w:p>
        </w:tc>
        <w:tc>
          <w:tcPr>
            <w:tcW w:type="dxa" w:w="4535"/>
            <w:shd w:val="clear" w:color="auto" w:fill="F1F3E8"/>
          </w:tcPr>
          <w:p>
            <w:pPr>
              <w:spacing w:after="0"/>
            </w:pPr>
            <w:r/>
            <w:r>
              <w:rPr>
                <w:b w:val="0"/>
                <w:i w:val="0"/>
                <w:sz w:val="20"/>
              </w:rPr>
              <w:t>MAPE 46,0 %</w:t>
            </w:r>
          </w:p>
        </w:tc>
      </w:tr>
      <w:tr>
        <w:tc>
          <w:tcPr>
            <w:tcW w:type="dxa" w:w="4876"/>
          </w:tcPr>
          <w:p>
            <w:pPr>
              <w:spacing w:after="0"/>
            </w:pPr>
            <w:r/>
            <w:r>
              <w:rPr>
                <w:b w:val="0"/>
                <w:i w:val="0"/>
                <w:sz w:val="20"/>
              </w:rPr>
              <w:t>Random Forest (modèle retenu)</w:t>
            </w:r>
          </w:p>
        </w:tc>
        <w:tc>
          <w:tcPr>
            <w:tcW w:type="dxa" w:w="4535"/>
          </w:tcPr>
          <w:p>
            <w:pPr>
              <w:spacing w:after="0"/>
            </w:pPr>
            <w:r/>
            <w:r>
              <w:rPr>
                <w:b w:val="0"/>
                <w:i w:val="0"/>
                <w:sz w:val="20"/>
              </w:rPr>
              <w:t>MAPE 40,6 %</w:t>
            </w:r>
          </w:p>
        </w:tc>
      </w:tr>
    </w:tbl>
    <w:p>
      <w:pPr>
        <w:spacing w:after="40"/>
      </w:pPr>
    </w:p>
    <w:p>
      <w:pPr>
        <w:spacing w:after="120"/>
      </w:pPr>
      <w:r>
        <w:rPr>
          <w:i w:val="0"/>
        </w:rPr>
        <w:t>En validation chronologique glissante (2005 → 2024), le Random Forest réduit l’erreur de 27 % par rapport à la régression linéaire, avec peu de données (une saison par an) et sans hypothèse de linéarité.</w:t>
      </w:r>
    </w:p>
    <w:p>
      <w:pPr>
        <w:pStyle w:val="Heading1"/>
      </w:pPr>
      <w:r>
        <w:t>6. Gains de productivité</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835"/>
            <w:shd w:val="clear" w:color="auto" w:fill="3D4F1C"/>
          </w:tcPr>
          <w:p>
            <w:pPr>
              <w:spacing w:after="0"/>
            </w:pPr>
            <w:r/>
            <w:r>
              <w:rPr>
                <w:b/>
                <w:i w:val="0"/>
                <w:color w:val="FFFFFF"/>
                <w:sz w:val="20"/>
              </w:rPr>
              <w:t>Tâche</w:t>
            </w:r>
          </w:p>
        </w:tc>
        <w:tc>
          <w:tcPr>
            <w:tcW w:type="dxa" w:w="3628"/>
            <w:shd w:val="clear" w:color="auto" w:fill="3D4F1C"/>
          </w:tcPr>
          <w:p>
            <w:pPr>
              <w:spacing w:after="0"/>
            </w:pPr>
            <w:r/>
            <w:r>
              <w:rPr>
                <w:b/>
                <w:i w:val="0"/>
                <w:color w:val="FFFFFF"/>
                <w:sz w:val="20"/>
              </w:rPr>
              <w:t>Apport de l’IA</w:t>
            </w:r>
          </w:p>
        </w:tc>
        <w:tc>
          <w:tcPr>
            <w:tcW w:type="dxa" w:w="2948"/>
            <w:shd w:val="clear" w:color="auto" w:fill="3D4F1C"/>
          </w:tcPr>
          <w:p>
            <w:pPr>
              <w:spacing w:after="0"/>
            </w:pPr>
            <w:r/>
            <w:r>
              <w:rPr>
                <w:b/>
                <w:i w:val="0"/>
                <w:color w:val="FFFFFF"/>
                <w:sz w:val="20"/>
              </w:rPr>
              <w:t>Limite constatée</w:t>
            </w:r>
          </w:p>
        </w:tc>
      </w:tr>
      <w:tr>
        <w:tc>
          <w:tcPr>
            <w:tcW w:type="dxa" w:w="2835"/>
          </w:tcPr>
          <w:p>
            <w:pPr>
              <w:spacing w:after="0"/>
            </w:pPr>
            <w:r/>
            <w:r>
              <w:rPr>
                <w:b w:val="0"/>
                <w:i w:val="0"/>
                <w:sz w:val="20"/>
              </w:rPr>
              <w:t>Préparation des données</w:t>
            </w:r>
          </w:p>
        </w:tc>
        <w:tc>
          <w:tcPr>
            <w:tcW w:type="dxa" w:w="3628"/>
          </w:tcPr>
          <w:p>
            <w:pPr>
              <w:spacing w:after="0"/>
            </w:pPr>
            <w:r/>
            <w:r>
              <w:rPr>
                <w:b w:val="0"/>
                <w:i w:val="0"/>
                <w:sz w:val="20"/>
              </w:rPr>
              <w:t>Fusion FAOSTAT et ERA5 et variables d’alternance générées</w:t>
            </w:r>
          </w:p>
        </w:tc>
        <w:tc>
          <w:tcPr>
            <w:tcW w:type="dxa" w:w="2948"/>
          </w:tcPr>
          <w:p>
            <w:pPr>
              <w:spacing w:after="0"/>
            </w:pPr>
            <w:r/>
            <w:r>
              <w:rPr>
                <w:b w:val="0"/>
                <w:i w:val="0"/>
                <w:sz w:val="20"/>
              </w:rPr>
              <w:t>Choix des variables à justifier</w:t>
            </w:r>
          </w:p>
        </w:tc>
      </w:tr>
      <w:tr>
        <w:tc>
          <w:tcPr>
            <w:tcW w:type="dxa" w:w="2835"/>
            <w:shd w:val="clear" w:color="auto" w:fill="F1F3E8"/>
          </w:tcPr>
          <w:p>
            <w:pPr>
              <w:spacing w:after="0"/>
            </w:pPr>
            <w:r/>
            <w:r>
              <w:rPr>
                <w:b w:val="0"/>
                <w:i w:val="0"/>
                <w:sz w:val="20"/>
              </w:rPr>
              <w:t>Comparaison de modèles</w:t>
            </w:r>
          </w:p>
        </w:tc>
        <w:tc>
          <w:tcPr>
            <w:tcW w:type="dxa" w:w="3628"/>
            <w:shd w:val="clear" w:color="auto" w:fill="F1F3E8"/>
          </w:tcPr>
          <w:p>
            <w:pPr>
              <w:spacing w:after="0"/>
            </w:pPr>
            <w:r/>
            <w:r>
              <w:rPr>
                <w:b w:val="0"/>
                <w:i w:val="0"/>
                <w:sz w:val="20"/>
              </w:rPr>
              <w:t>Cinq modèles évalués avec la même validation glissante</w:t>
            </w:r>
          </w:p>
        </w:tc>
        <w:tc>
          <w:tcPr>
            <w:tcW w:type="dxa" w:w="2948"/>
            <w:shd w:val="clear" w:color="auto" w:fill="F1F3E8"/>
          </w:tcPr>
          <w:p>
            <w:pPr>
              <w:spacing w:after="0"/>
            </w:pPr>
            <w:r/>
            <w:r>
              <w:rPr>
                <w:b w:val="0"/>
                <w:i w:val="0"/>
                <w:sz w:val="20"/>
              </w:rPr>
              <w:t>Peu de saisons disponibles</w:t>
            </w:r>
          </w:p>
        </w:tc>
      </w:tr>
      <w:tr>
        <w:tc>
          <w:tcPr>
            <w:tcW w:type="dxa" w:w="2835"/>
          </w:tcPr>
          <w:p>
            <w:pPr>
              <w:spacing w:after="0"/>
            </w:pPr>
            <w:r/>
            <w:r>
              <w:rPr>
                <w:b w:val="0"/>
                <w:i w:val="0"/>
                <w:sz w:val="20"/>
              </w:rPr>
              <w:t>Débogage</w:t>
            </w:r>
          </w:p>
        </w:tc>
        <w:tc>
          <w:tcPr>
            <w:tcW w:type="dxa" w:w="3628"/>
          </w:tcPr>
          <w:p>
            <w:pPr>
              <w:spacing w:after="0"/>
            </w:pPr>
            <w:r/>
            <w:r>
              <w:rPr>
                <w:b w:val="0"/>
                <w:i w:val="0"/>
                <w:sz w:val="20"/>
              </w:rPr>
              <w:t>Cause d’un échec de test identifiée (valeurs manquantes)</w:t>
            </w:r>
          </w:p>
        </w:tc>
        <w:tc>
          <w:tcPr>
            <w:tcW w:type="dxa" w:w="2948"/>
          </w:tcPr>
          <w:p>
            <w:pPr>
              <w:spacing w:after="0"/>
            </w:pPr>
            <w:r/>
            <w:r>
              <w:rPr>
                <w:b w:val="0"/>
                <w:i w:val="0"/>
                <w:sz w:val="20"/>
              </w:rPr>
              <w:t>Correction relue</w:t>
            </w:r>
          </w:p>
        </w:tc>
      </w:tr>
    </w:tbl>
    <w:p>
      <w:pPr>
        <w:spacing w:after="40"/>
      </w:pPr>
    </w:p>
    <w:p>
      <w:pPr>
        <w:pStyle w:val="Heading1"/>
      </w:pPr>
      <w:r>
        <w:t>7. Limites et bonnes pratiques retenues</w:t>
      </w:r>
    </w:p>
    <w:p>
      <w:pPr>
        <w:pStyle w:val="ListBullet"/>
      </w:pPr>
      <w:r>
        <w:t>Avec une saison par an, une validation chronologique est indispensable : jamais de mélange aléatoire.</w:t>
      </w:r>
    </w:p>
    <w:p>
      <w:pPr>
        <w:pStyle w:val="ListBullet"/>
      </w:pPr>
      <w:r>
        <w:t>Dire clairement les limites : le modèle est national faute de données régionales ouvertes.</w:t>
      </w:r>
    </w:p>
    <w:p>
      <w:pPr>
        <w:pStyle w:val="ListBullet"/>
      </w:pPr>
      <w:r>
        <w:t>Ne jamais accepter un résultat sans l’exécuter : chaque proposition a été vérifiée par un test ou une mesure.</w:t>
      </w:r>
    </w:p>
    <w:p>
      <w:pPr>
        <w:pStyle w:val="ListBullet"/>
      </w:pPr>
      <w:r>
        <w:t>Comparer systématiquement à une référence simple avant de retenir un modèle plus complexe.</w:t>
      </w:r>
    </w:p>
    <w:p>
      <w:pPr>
        <w:pStyle w:val="ListBullet"/>
      </w:pPr>
      <w:r>
        <w:t>Ne jamais partager de secret (clé d’API, mot de passe) avec l’IA ni dans une capture d’écran.</w:t>
      </w:r>
    </w:p>
    <w:p>
      <w:pPr>
        <w:pStyle w:val="Heading1"/>
      </w:pPr>
      <w:r>
        <w:t>8. Conclusion</w:t>
      </w:r>
    </w:p>
    <w:p>
      <w:pPr>
        <w:spacing w:after="120"/>
      </w:pPr>
      <w:r>
        <w:rPr>
          <w:i w:val="0"/>
        </w:rPr>
        <w:t>L’IA a accéléré la préparation des données et la comparaison des modèles de M3 ; le Random Forest réduit l’erreur de 27 % par rapport à la régression linéaire, avec une limite assumée : la prévision est nationale.</w:t>
      </w:r>
    </w:p>
    <w:sectPr w:rsidR="00FC693F" w:rsidRPr="0006063C" w:rsidSect="00034616">
      <w:headerReference w:type="default" r:id="rId9"/>
      <w:footerReference w:type="default" r:id="rId10"/>
      <w:pgSz w:w="11906" w:h="16838"/>
      <w:pgMar w:top="1247"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E7D"/>
        <w:sz w:val="17"/>
      </w:rPr>
      <w:t xml:space="preserve">IA for Software Engineering · ESPRIT · 5SAE10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8A8E7D"/>
        <w:sz w:val="17"/>
      </w:rPr>
      <w:t>Zitouna AI · Documentation individuelle · Med Amine Bejaoui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D22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mbria" w:hAnsi="Cambria" w:eastAsia="Cambria"/>
      <w:b/>
      <w:bCs/>
      <w:color w:val="3D4F1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