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Omar Azouz</w:t>
      </w:r>
    </w:p>
    <w:p>
      <w:pPr>
        <w:jc w:val="center"/>
      </w:pPr>
      <w:r>
        <w:rPr>
          <w:color w:val="3D4F1C"/>
          <w:sz w:val="26"/>
        </w:rPr>
        <w:t>M1 · Diagnostic des maladies des feuilles</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Pipeline d’images partagé avec M6</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M1 · Diagnostic des maladies des feuilles de bout en bout : données, modèle, service FastAPI, intégration dans l’application et écran. Type d’IA : Vision par ordinateur · classification d’images. Rôle transversal : Pipeline d’images partagé avec M6.</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Tests et Bandit</w:t>
            </w:r>
          </w:p>
        </w:tc>
        <w:tc>
          <w:tcPr>
            <w:tcW w:type="dxa" w:w="2835"/>
            <w:shd w:val="clear" w:color="auto" w:fill="F1F3E8"/>
          </w:tcPr>
          <w:p>
            <w:pPr>
              <w:spacing w:after="0"/>
            </w:pPr>
            <w:r/>
            <w:r>
              <w:rPr>
                <w:b w:val="0"/>
                <w:i w:val="0"/>
                <w:sz w:val="20"/>
              </w:rPr>
              <w:t>Contrôle des propositions de l’IA</w:t>
            </w:r>
          </w:p>
        </w:tc>
        <w:tc>
          <w:tcPr>
            <w:tcW w:type="dxa" w:w="4195"/>
            <w:shd w:val="clear" w:color="auto" w:fill="F1F3E8"/>
          </w:tcPr>
          <w:p>
            <w:pPr>
              <w:spacing w:after="0"/>
            </w:pPr>
            <w:r/>
            <w:r>
              <w:rPr>
                <w:b w:val="0"/>
                <w:i w:val="0"/>
                <w:sz w:val="20"/>
              </w:rPr>
              <w:t>Tests automatiques, analyse de sécurité</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spacing w:after="120"/>
      </w:pPr>
      <w:r>
        <w:rPr>
          <w:i w:val="0"/>
        </w:rPr>
        <w:t>Les prompts du journal sont reformulés en français correct et classés par phase du projet ; leur sens, les réponses de l’IA et les résultats sont ceux des échanges réels.</w:t>
      </w:r>
    </w:p>
    <w:p>
      <w:pPr>
        <w:pStyle w:val="Heading1"/>
      </w:pPr>
      <w:r>
        <w:t>4. Journal des prompts et des interactions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Phase</w:t>
            </w:r>
          </w:p>
        </w:tc>
        <w:tc>
          <w:tcPr>
            <w:tcW w:type="dxa" w:w="2494"/>
            <w:shd w:val="clear" w:color="auto" w:fill="3D4F1C"/>
          </w:tcPr>
          <w:p>
            <w:pPr>
              <w:spacing w:after="0"/>
            </w:pPr>
            <w:r/>
            <w:r>
              <w:rPr>
                <w:b/>
                <w:i w:val="0"/>
                <w:color w:val="FFFFFF"/>
                <w:sz w:val="20"/>
              </w:rPr>
              <w:t>Prompt (reformulé)</w:t>
            </w:r>
          </w:p>
        </w:tc>
        <w:tc>
          <w:tcPr>
            <w:tcW w:type="dxa" w:w="2381"/>
            <w:shd w:val="clear" w:color="auto" w:fill="3D4F1C"/>
          </w:tcPr>
          <w:p>
            <w:pPr>
              <w:spacing w:after="0"/>
            </w:pPr>
            <w:r/>
            <w:r>
              <w:rPr>
                <w:b/>
                <w:i w:val="0"/>
                <w:color w:val="FFFFFF"/>
                <w:sz w:val="20"/>
              </w:rPr>
              <w:t>Réponse / action de l’IA</w:t>
            </w:r>
          </w:p>
        </w:tc>
        <w:tc>
          <w:tcPr>
            <w:tcW w:type="dxa" w:w="1984"/>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10/2026</w:t>
            </w:r>
          </w:p>
        </w:tc>
        <w:tc>
          <w:tcPr>
            <w:tcW w:type="dxa" w:w="1191"/>
          </w:tcPr>
          <w:p>
            <w:pPr>
              <w:spacing w:after="0"/>
            </w:pPr>
            <w:r/>
            <w:r>
              <w:rPr>
                <w:b w:val="0"/>
                <w:i w:val="0"/>
                <w:sz w:val="20"/>
              </w:rPr>
              <w:t>Données</w:t>
            </w:r>
          </w:p>
        </w:tc>
        <w:tc>
          <w:tcPr>
            <w:tcW w:type="dxa" w:w="2494"/>
          </w:tcPr>
          <w:p>
            <w:pPr>
              <w:spacing w:after="0"/>
            </w:pPr>
            <w:r/>
            <w:r>
              <w:rPr>
                <w:b w:val="0"/>
                <w:i w:val="0"/>
                <w:sz w:val="20"/>
              </w:rPr>
              <w:t>Utilise le vrai jeu de photos de feuilles d’olivier de Kaggle et adapte le notebook d’entraînement.</w:t>
            </w:r>
          </w:p>
        </w:tc>
        <w:tc>
          <w:tcPr>
            <w:tcW w:type="dxa" w:w="2381"/>
          </w:tcPr>
          <w:p>
            <w:pPr>
              <w:spacing w:after="0"/>
            </w:pPr>
            <w:r/>
            <w:r>
              <w:rPr>
                <w:b w:val="0"/>
                <w:i w:val="0"/>
                <w:sz w:val="20"/>
              </w:rPr>
              <w:t>Notebook adapté au dossier Kaggle (variables M1_DATA_SRC, M1_EPOCHS)</w:t>
            </w:r>
          </w:p>
        </w:tc>
        <w:tc>
          <w:tcPr>
            <w:tcW w:type="dxa" w:w="1984"/>
          </w:tcPr>
          <w:p>
            <w:pPr>
              <w:spacing w:after="0"/>
            </w:pPr>
            <w:r/>
            <w:r>
              <w:rPr>
                <w:b w:val="0"/>
                <w:i w:val="0"/>
                <w:sz w:val="20"/>
              </w:rPr>
              <w:t>Effectifs par classe affichés, découpage par feuille d’origine</w:t>
            </w:r>
          </w:p>
        </w:tc>
      </w:tr>
      <w:tr>
        <w:tc>
          <w:tcPr>
            <w:tcW w:type="dxa" w:w="1361"/>
            <w:shd w:val="clear" w:color="auto" w:fill="F1F3E8"/>
          </w:tcPr>
          <w:p>
            <w:pPr>
              <w:spacing w:after="0"/>
            </w:pPr>
            <w:r/>
            <w:r>
              <w:rPr>
                <w:b w:val="0"/>
                <w:i w:val="0"/>
                <w:sz w:val="20"/>
              </w:rPr>
              <w:t>10/2026</w:t>
            </w:r>
          </w:p>
        </w:tc>
        <w:tc>
          <w:tcPr>
            <w:tcW w:type="dxa" w:w="1191"/>
            <w:shd w:val="clear" w:color="auto" w:fill="F1F3E8"/>
          </w:tcPr>
          <w:p>
            <w:pPr>
              <w:spacing w:after="0"/>
            </w:pPr>
            <w:r/>
            <w:r>
              <w:rPr>
                <w:b w:val="0"/>
                <w:i w:val="0"/>
                <w:sz w:val="20"/>
              </w:rPr>
              <w:t>Modèle</w:t>
            </w:r>
          </w:p>
        </w:tc>
        <w:tc>
          <w:tcPr>
            <w:tcW w:type="dxa" w:w="2494"/>
            <w:shd w:val="clear" w:color="auto" w:fill="F1F3E8"/>
          </w:tcPr>
          <w:p>
            <w:pPr>
              <w:spacing w:after="0"/>
            </w:pPr>
            <w:r/>
            <w:r>
              <w:rPr>
                <w:b w:val="0"/>
                <w:i w:val="0"/>
                <w:sz w:val="20"/>
              </w:rPr>
              <w:t>Explique-moi comment entraîner et évaluer le modèle de diagnostic à partir de ce jeu de données.</w:t>
            </w:r>
          </w:p>
        </w:tc>
        <w:tc>
          <w:tcPr>
            <w:tcW w:type="dxa" w:w="2381"/>
            <w:shd w:val="clear" w:color="auto" w:fill="F1F3E8"/>
          </w:tcPr>
          <w:p>
            <w:pPr>
              <w:spacing w:after="0"/>
            </w:pPr>
            <w:r/>
            <w:r>
              <w:rPr>
                <w:b w:val="0"/>
                <w:i w:val="0"/>
                <w:sz w:val="20"/>
              </w:rPr>
              <w:t>Entraînement dans une image Docker dédiée, affinage en deux phases</w:t>
            </w:r>
          </w:p>
        </w:tc>
        <w:tc>
          <w:tcPr>
            <w:tcW w:type="dxa" w:w="1984"/>
            <w:shd w:val="clear" w:color="auto" w:fill="F1F3E8"/>
          </w:tcPr>
          <w:p>
            <w:pPr>
              <w:spacing w:after="0"/>
            </w:pPr>
            <w:r/>
            <w:r>
              <w:rPr>
                <w:b w:val="0"/>
                <w:i w:val="0"/>
                <w:sz w:val="20"/>
              </w:rPr>
              <w:t>97,1 % de précision sur 508 photos de test</w:t>
            </w:r>
          </w:p>
        </w:tc>
      </w:tr>
      <w:tr>
        <w:tc>
          <w:tcPr>
            <w:tcW w:type="dxa" w:w="1361"/>
          </w:tcPr>
          <w:p>
            <w:pPr>
              <w:spacing w:after="0"/>
            </w:pPr>
            <w:r/>
            <w:r>
              <w:rPr>
                <w:b w:val="0"/>
                <w:i w:val="0"/>
                <w:sz w:val="20"/>
              </w:rPr>
              <w:t>10/2026</w:t>
            </w:r>
          </w:p>
        </w:tc>
        <w:tc>
          <w:tcPr>
            <w:tcW w:type="dxa" w:w="1191"/>
          </w:tcPr>
          <w:p>
            <w:pPr>
              <w:spacing w:after="0"/>
            </w:pPr>
            <w:r/>
            <w:r>
              <w:rPr>
                <w:b w:val="0"/>
                <w:i w:val="0"/>
                <w:sz w:val="20"/>
              </w:rPr>
              <w:t>Intégration</w:t>
            </w:r>
          </w:p>
        </w:tc>
        <w:tc>
          <w:tcPr>
            <w:tcW w:type="dxa" w:w="2494"/>
          </w:tcPr>
          <w:p>
            <w:pPr>
              <w:spacing w:after="0"/>
            </w:pPr>
            <w:r/>
            <w:r>
              <w:rPr>
                <w:b w:val="0"/>
                <w:i w:val="0"/>
                <w:sz w:val="20"/>
              </w:rPr>
              <w:t>Intègre le modèle entraîné dans le service M1 et vérifie qu’il fonctionne en mode réel.</w:t>
            </w:r>
          </w:p>
        </w:tc>
        <w:tc>
          <w:tcPr>
            <w:tcW w:type="dxa" w:w="2381"/>
          </w:tcPr>
          <w:p>
            <w:pPr>
              <w:spacing w:after="0"/>
            </w:pPr>
            <w:r/>
            <w:r>
              <w:rPr>
                <w:b w:val="0"/>
                <w:i w:val="0"/>
                <w:sz w:val="20"/>
              </w:rPr>
              <w:t>Export TorchScript chargé avec la même version de PyTorch (2.11)</w:t>
            </w:r>
          </w:p>
        </w:tc>
        <w:tc>
          <w:tcPr>
            <w:tcW w:type="dxa" w:w="1984"/>
          </w:tcPr>
          <w:p>
            <w:pPr>
              <w:spacing w:after="0"/>
            </w:pPr>
            <w:r/>
            <w:r>
              <w:rPr>
                <w:b w:val="0"/>
                <w:i w:val="0"/>
                <w:sz w:val="20"/>
              </w:rPr>
              <w:t>Page d’état : « Modèle réel » ; 7 tests</w:t>
            </w:r>
          </w:p>
        </w:tc>
      </w:tr>
      <w:tr>
        <w:tc>
          <w:tcPr>
            <w:tcW w:type="dxa" w:w="1361"/>
            <w:shd w:val="clear" w:color="auto" w:fill="F1F3E8"/>
          </w:tcPr>
          <w:p>
            <w:pPr>
              <w:spacing w:after="0"/>
            </w:pPr>
            <w:r/>
            <w:r>
              <w:rPr>
                <w:b w:val="0"/>
                <w:i w:val="0"/>
                <w:sz w:val="20"/>
              </w:rPr>
              <w:t>18/10/2026</w:t>
            </w:r>
          </w:p>
        </w:tc>
        <w:tc>
          <w:tcPr>
            <w:tcW w:type="dxa" w:w="1191"/>
            <w:shd w:val="clear" w:color="auto" w:fill="F1F3E8"/>
          </w:tcPr>
          <w:p>
            <w:pPr>
              <w:spacing w:after="0"/>
            </w:pPr>
            <w:r/>
            <w:r>
              <w:rPr>
                <w:b w:val="0"/>
                <w:i w:val="0"/>
                <w:sz w:val="20"/>
              </w:rPr>
              <w:t>Sécurité</w:t>
            </w:r>
          </w:p>
        </w:tc>
        <w:tc>
          <w:tcPr>
            <w:tcW w:type="dxa" w:w="2494"/>
            <w:shd w:val="clear" w:color="auto" w:fill="F1F3E8"/>
          </w:tcPr>
          <w:p>
            <w:pPr>
              <w:spacing w:after="0"/>
            </w:pPr>
            <w:r/>
            <w:r>
              <w:rPr>
                <w:b w:val="0"/>
                <w:i w:val="0"/>
                <w:sz w:val="20"/>
              </w:rPr>
              <w:t>Analyse la sécurité du code du service M1 et corrige les failles détectées.</w:t>
            </w:r>
          </w:p>
        </w:tc>
        <w:tc>
          <w:tcPr>
            <w:tcW w:type="dxa" w:w="2381"/>
            <w:shd w:val="clear" w:color="auto" w:fill="F1F3E8"/>
          </w:tcPr>
          <w:p>
            <w:pPr>
              <w:spacing w:after="0"/>
            </w:pPr>
            <w:r/>
            <w:r>
              <w:rPr>
                <w:b w:val="0"/>
                <w:i w:val="0"/>
                <w:sz w:val="20"/>
              </w:rPr>
              <w:t>Bandit signale torch.load non sûr ; chargement avec weights_only=True</w:t>
            </w:r>
          </w:p>
        </w:tc>
        <w:tc>
          <w:tcPr>
            <w:tcW w:type="dxa" w:w="1984"/>
            <w:shd w:val="clear" w:color="auto" w:fill="F1F3E8"/>
          </w:tcPr>
          <w:p>
            <w:pPr>
              <w:spacing w:after="0"/>
            </w:pPr>
            <w:r/>
            <w:r>
              <w:rPr>
                <w:b w:val="0"/>
                <w:i w:val="0"/>
                <w:sz w:val="20"/>
              </w:rPr>
              <w:t>7 tests réussis ; Bandit sans alerte</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Petit CNN entraîné de zéro (référence)</w:t>
            </w:r>
          </w:p>
        </w:tc>
        <w:tc>
          <w:tcPr>
            <w:tcW w:type="dxa" w:w="4535"/>
          </w:tcPr>
          <w:p>
            <w:pPr>
              <w:spacing w:after="0"/>
            </w:pPr>
            <w:r/>
            <w:r>
              <w:rPr>
                <w:b w:val="0"/>
                <w:i w:val="0"/>
                <w:sz w:val="20"/>
              </w:rPr>
              <w:t>Précision 75,2 % · F1 0,741</w:t>
            </w:r>
          </w:p>
        </w:tc>
      </w:tr>
      <w:tr>
        <w:tc>
          <w:tcPr>
            <w:tcW w:type="dxa" w:w="4876"/>
            <w:shd w:val="clear" w:color="auto" w:fill="F1F3E8"/>
          </w:tcPr>
          <w:p>
            <w:pPr>
              <w:spacing w:after="0"/>
            </w:pPr>
            <w:r/>
            <w:r>
              <w:rPr>
                <w:b w:val="0"/>
                <w:i w:val="0"/>
                <w:sz w:val="20"/>
              </w:rPr>
              <w:t>MobileNetV3-Large affiné (modèle retenu)</w:t>
            </w:r>
          </w:p>
        </w:tc>
        <w:tc>
          <w:tcPr>
            <w:tcW w:type="dxa" w:w="4535"/>
            <w:shd w:val="clear" w:color="auto" w:fill="F1F3E8"/>
          </w:tcPr>
          <w:p>
            <w:pPr>
              <w:spacing w:after="0"/>
            </w:pPr>
            <w:r/>
            <w:r>
              <w:rPr>
                <w:b w:val="0"/>
                <w:i w:val="0"/>
                <w:sz w:val="20"/>
              </w:rPr>
              <w:t>Précision 97,1 % · F1 0,969</w:t>
            </w:r>
          </w:p>
        </w:tc>
      </w:tr>
    </w:tbl>
    <w:p>
      <w:pPr>
        <w:spacing w:after="40"/>
      </w:pPr>
    </w:p>
    <w:p>
      <w:pPr>
        <w:spacing w:after="120"/>
      </w:pPr>
      <w:r>
        <w:rPr>
          <w:i w:val="0"/>
        </w:rPr>
        <w:t>MobileNetV3 préentraîné sur ImageNet puis affiné en deux phases gagne 21,9 points sur la référence, reste léger (exécution sans GPU) et permet une carte Grad-CAM qui explique la décision. Un seuil de confiance de 70 % après calibration évite de donner un diagnostic incertain.</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Script d’entraînement</w:t>
            </w:r>
          </w:p>
        </w:tc>
        <w:tc>
          <w:tcPr>
            <w:tcW w:type="dxa" w:w="3628"/>
          </w:tcPr>
          <w:p>
            <w:pPr>
              <w:spacing w:after="0"/>
            </w:pPr>
            <w:r/>
            <w:r>
              <w:rPr>
                <w:b w:val="0"/>
                <w:i w:val="0"/>
                <w:sz w:val="20"/>
              </w:rPr>
              <w:t>Notebook paramétrable généré et exécuté dans Docker</w:t>
            </w:r>
          </w:p>
        </w:tc>
        <w:tc>
          <w:tcPr>
            <w:tcW w:type="dxa" w:w="2948"/>
          </w:tcPr>
          <w:p>
            <w:pPr>
              <w:spacing w:after="0"/>
            </w:pPr>
            <w:r/>
            <w:r>
              <w:rPr>
                <w:b w:val="0"/>
                <w:i w:val="0"/>
                <w:sz w:val="20"/>
              </w:rPr>
              <w:t>Temps d’entraînement sur CPU</w:t>
            </w:r>
          </w:p>
        </w:tc>
      </w:tr>
      <w:tr>
        <w:tc>
          <w:tcPr>
            <w:tcW w:type="dxa" w:w="2835"/>
            <w:shd w:val="clear" w:color="auto" w:fill="F1F3E8"/>
          </w:tcPr>
          <w:p>
            <w:pPr>
              <w:spacing w:after="0"/>
            </w:pPr>
            <w:r/>
            <w:r>
              <w:rPr>
                <w:b w:val="0"/>
                <w:i w:val="0"/>
                <w:sz w:val="20"/>
              </w:rPr>
              <w:t>Fiabilité</w:t>
            </w:r>
          </w:p>
        </w:tc>
        <w:tc>
          <w:tcPr>
            <w:tcW w:type="dxa" w:w="3628"/>
            <w:shd w:val="clear" w:color="auto" w:fill="F1F3E8"/>
          </w:tcPr>
          <w:p>
            <w:pPr>
              <w:spacing w:after="0"/>
            </w:pPr>
            <w:r/>
            <w:r>
              <w:rPr>
                <w:b w:val="0"/>
                <w:i w:val="0"/>
                <w:sz w:val="20"/>
              </w:rPr>
              <w:t>Calibration et seuil de 70 % proposés et mesurés</w:t>
            </w:r>
          </w:p>
        </w:tc>
        <w:tc>
          <w:tcPr>
            <w:tcW w:type="dxa" w:w="2948"/>
            <w:shd w:val="clear" w:color="auto" w:fill="F1F3E8"/>
          </w:tcPr>
          <w:p>
            <w:pPr>
              <w:spacing w:after="0"/>
            </w:pPr>
            <w:r/>
            <w:r>
              <w:rPr>
                <w:b w:val="0"/>
                <w:i w:val="0"/>
                <w:sz w:val="20"/>
              </w:rPr>
              <w:t>Seuil à choisir sur la validation</w:t>
            </w:r>
          </w:p>
        </w:tc>
      </w:tr>
      <w:tr>
        <w:tc>
          <w:tcPr>
            <w:tcW w:type="dxa" w:w="2835"/>
          </w:tcPr>
          <w:p>
            <w:pPr>
              <w:spacing w:after="0"/>
            </w:pPr>
            <w:r/>
            <w:r>
              <w:rPr>
                <w:b w:val="0"/>
                <w:i w:val="0"/>
                <w:sz w:val="20"/>
              </w:rPr>
              <w:t>Explicabilité</w:t>
            </w:r>
          </w:p>
        </w:tc>
        <w:tc>
          <w:tcPr>
            <w:tcW w:type="dxa" w:w="3628"/>
          </w:tcPr>
          <w:p>
            <w:pPr>
              <w:spacing w:after="0"/>
            </w:pPr>
            <w:r/>
            <w:r>
              <w:rPr>
                <w:b w:val="0"/>
                <w:i w:val="0"/>
                <w:sz w:val="20"/>
              </w:rPr>
              <w:t>Cartes Grad-CAM produites pour l’écran de diagnostic</w:t>
            </w:r>
          </w:p>
        </w:tc>
        <w:tc>
          <w:tcPr>
            <w:tcW w:type="dxa" w:w="2948"/>
          </w:tcPr>
          <w:p>
            <w:pPr>
              <w:spacing w:after="0"/>
            </w:pPr>
            <w:r/>
            <w:r>
              <w:rPr>
                <w:b w:val="0"/>
                <w:i w:val="0"/>
                <w:sz w:val="20"/>
              </w:rPr>
              <w:t>Interprétation à vérifier à l’œil</w:t>
            </w:r>
          </w:p>
        </w:tc>
      </w:tr>
    </w:tbl>
    <w:p>
      <w:pPr>
        <w:spacing w:after="40"/>
      </w:pPr>
    </w:p>
    <w:p>
      <w:pPr>
        <w:pStyle w:val="Heading1"/>
      </w:pPr>
      <w:r>
        <w:t>7. Limites et bonnes pratiques retenues</w:t>
      </w:r>
    </w:p>
    <w:p>
      <w:pPr>
        <w:pStyle w:val="ListBullet"/>
      </w:pPr>
      <w:r>
        <w:t>Versionner l’environnement : un modèle TorchScript exige la même version de PyTorch au chargement.</w:t>
      </w:r>
    </w:p>
    <w:p>
      <w:pPr>
        <w:pStyle w:val="ListBullet"/>
      </w:pPr>
      <w:r>
        <w:t>Découper les images par feuille d’origine pour éviter une précision trompeuse.</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accéléré l’entraînement, l’export et l’intégration de MobileNetV3 ; les résultats (97,1 % de précision) ont été mesurés sur des photos jamais vues, et la revue de sécurité a corrigé le chargement du modèle.</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Omar Azouz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