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Rima Jenhani</w:t>
      </w:r>
    </w:p>
    <w:p>
      <w:pPr>
        <w:jc w:val="center"/>
      </w:pPr>
      <w:r>
        <w:rPr>
          <w:color w:val="3D4F1C"/>
          <w:sz w:val="26"/>
        </w:rPr>
        <w:t>M5 · Assistant conversationnel en derja</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Rapport, tests, démonstration</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M5 · Assistant conversationnel en derja de bout en bout : données, modèle, service FastAPI, intégration dans l’application et écran. Type d’IA : Traitement du langage · classification et LLM. Rôle transversal : Rapport, tests, démonstration.</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Tests et Bandit</w:t>
            </w:r>
          </w:p>
        </w:tc>
        <w:tc>
          <w:tcPr>
            <w:tcW w:type="dxa" w:w="2835"/>
            <w:shd w:val="clear" w:color="auto" w:fill="F1F3E8"/>
          </w:tcPr>
          <w:p>
            <w:pPr>
              <w:spacing w:after="0"/>
            </w:pPr>
            <w:r/>
            <w:r>
              <w:rPr>
                <w:b w:val="0"/>
                <w:i w:val="0"/>
                <w:sz w:val="20"/>
              </w:rPr>
              <w:t>Contrôle des propositions de l’IA</w:t>
            </w:r>
          </w:p>
        </w:tc>
        <w:tc>
          <w:tcPr>
            <w:tcW w:type="dxa" w:w="4195"/>
            <w:shd w:val="clear" w:color="auto" w:fill="F1F3E8"/>
          </w:tcPr>
          <w:p>
            <w:pPr>
              <w:spacing w:after="0"/>
            </w:pPr>
            <w:r/>
            <w:r>
              <w:rPr>
                <w:b w:val="0"/>
                <w:i w:val="0"/>
                <w:sz w:val="20"/>
              </w:rPr>
              <w:t>Tests automatiques, analyse de sécurité</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17/10/2026</w:t>
            </w:r>
          </w:p>
        </w:tc>
        <w:tc>
          <w:tcPr>
            <w:tcW w:type="dxa" w:w="1191"/>
          </w:tcPr>
          <w:p>
            <w:pPr>
              <w:spacing w:after="0"/>
            </w:pPr>
            <w:r/>
            <w:r>
              <w:rPr>
                <w:b w:val="0"/>
                <w:i w:val="0"/>
                <w:sz w:val="20"/>
              </w:rPr>
              <w:t>Intégration</w:t>
            </w:r>
          </w:p>
        </w:tc>
        <w:tc>
          <w:tcPr>
            <w:tcW w:type="dxa" w:w="2494"/>
          </w:tcPr>
          <w:p>
            <w:pPr>
              <w:spacing w:after="0"/>
            </w:pPr>
            <w:r/>
            <w:r>
              <w:rPr>
                <w:b w:val="0"/>
                <w:i w:val="0"/>
                <w:sz w:val="20"/>
              </w:rPr>
              <w:t>Quelles clés d’API faut-il configurer pour l’assistant : seulement Gemini, ou d’autres aussi ?</w:t>
            </w:r>
          </w:p>
        </w:tc>
        <w:tc>
          <w:tcPr>
            <w:tcW w:type="dxa" w:w="2381"/>
          </w:tcPr>
          <w:p>
            <w:pPr>
              <w:spacing w:after="0"/>
            </w:pPr>
            <w:r/>
            <w:r>
              <w:rPr>
                <w:b w:val="0"/>
                <w:i w:val="0"/>
                <w:sz w:val="20"/>
              </w:rPr>
              <w:t>Chaîne Gemini puis Groq ; clés placées dans .env par l’utilisateur</w:t>
            </w:r>
          </w:p>
        </w:tc>
        <w:tc>
          <w:tcPr>
            <w:tcW w:type="dxa" w:w="1984"/>
          </w:tcPr>
          <w:p>
            <w:pPr>
              <w:spacing w:after="0"/>
            </w:pPr>
            <w:r/>
            <w:r>
              <w:rPr>
                <w:b w:val="0"/>
                <w:i w:val="0"/>
                <w:sz w:val="20"/>
              </w:rPr>
              <w:t>État du service : LLM disponibles</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Tests</w:t>
            </w:r>
          </w:p>
        </w:tc>
        <w:tc>
          <w:tcPr>
            <w:tcW w:type="dxa" w:w="2494"/>
            <w:shd w:val="clear" w:color="auto" w:fill="F1F3E8"/>
          </w:tcPr>
          <w:p>
            <w:pPr>
              <w:spacing w:after="0"/>
            </w:pPr>
            <w:r/>
            <w:r>
              <w:rPr>
                <w:b w:val="0"/>
                <w:i w:val="0"/>
                <w:sz w:val="20"/>
              </w:rPr>
              <w:t>Comment vérifier que le module M5 fonctionne réellement ?</w:t>
            </w:r>
          </w:p>
        </w:tc>
        <w:tc>
          <w:tcPr>
            <w:tcW w:type="dxa" w:w="2381"/>
            <w:shd w:val="clear" w:color="auto" w:fill="F1F3E8"/>
          </w:tcPr>
          <w:p>
            <w:pPr>
              <w:spacing w:after="0"/>
            </w:pPr>
            <w:r/>
            <w:r>
              <w:rPr>
                <w:b w:val="0"/>
                <w:i w:val="0"/>
                <w:sz w:val="20"/>
              </w:rPr>
              <w:t>Contrôle de l’état du service et question en derja dans l’application</w:t>
            </w:r>
          </w:p>
        </w:tc>
        <w:tc>
          <w:tcPr>
            <w:tcW w:type="dxa" w:w="1984"/>
            <w:shd w:val="clear" w:color="auto" w:fill="F1F3E8"/>
          </w:tcPr>
          <w:p>
            <w:pPr>
              <w:spacing w:after="0"/>
            </w:pPr>
            <w:r/>
            <w:r>
              <w:rPr>
                <w:b w:val="0"/>
                <w:i w:val="0"/>
                <w:sz w:val="20"/>
              </w:rPr>
              <w:t>Réponse en derja avec les vrais chiffres de M2</w:t>
            </w:r>
          </w:p>
        </w:tc>
      </w:tr>
      <w:tr>
        <w:tc>
          <w:tcPr>
            <w:tcW w:type="dxa" w:w="1361"/>
          </w:tcPr>
          <w:p>
            <w:pPr>
              <w:spacing w:after="0"/>
            </w:pPr>
            <w:r/>
            <w:r>
              <w:rPr>
                <w:b w:val="0"/>
                <w:i w:val="0"/>
                <w:sz w:val="20"/>
              </w:rPr>
              <w:t>10/2026</w:t>
            </w:r>
          </w:p>
        </w:tc>
        <w:tc>
          <w:tcPr>
            <w:tcW w:type="dxa" w:w="1191"/>
          </w:tcPr>
          <w:p>
            <w:pPr>
              <w:spacing w:after="0"/>
            </w:pPr>
            <w:r/>
            <w:r>
              <w:rPr>
                <w:b w:val="0"/>
                <w:i w:val="0"/>
                <w:sz w:val="20"/>
              </w:rPr>
              <w:t>Qualité</w:t>
            </w:r>
          </w:p>
        </w:tc>
        <w:tc>
          <w:tcPr>
            <w:tcW w:type="dxa" w:w="2494"/>
          </w:tcPr>
          <w:p>
            <w:pPr>
              <w:spacing w:after="0"/>
            </w:pPr>
            <w:r/>
            <w:r>
              <w:rPr>
                <w:b w:val="0"/>
                <w:i w:val="0"/>
                <w:sz w:val="20"/>
              </w:rPr>
              <w:t>L’assistant demande trop souvent de reformuler : améliore le jeu de données et règle le seuil.</w:t>
            </w:r>
          </w:p>
        </w:tc>
        <w:tc>
          <w:tcPr>
            <w:tcW w:type="dxa" w:w="2381"/>
          </w:tcPr>
          <w:p>
            <w:pPr>
              <w:spacing w:after="0"/>
            </w:pPr>
            <w:r/>
            <w:r>
              <w:rPr>
                <w:b w:val="0"/>
                <w:i w:val="0"/>
                <w:sz w:val="20"/>
              </w:rPr>
              <w:t>Jeu porté à 500 questions, seuil de clarification de 0,35</w:t>
            </w:r>
          </w:p>
        </w:tc>
        <w:tc>
          <w:tcPr>
            <w:tcW w:type="dxa" w:w="1984"/>
          </w:tcPr>
          <w:p>
            <w:pPr>
              <w:spacing w:after="0"/>
            </w:pPr>
            <w:r/>
            <w:r>
              <w:rPr>
                <w:b w:val="0"/>
                <w:i w:val="0"/>
                <w:sz w:val="20"/>
              </w:rPr>
              <w:t>F1 macro 0,75 ; 19/25 au test indépendant</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Fiabilité</w:t>
            </w:r>
          </w:p>
        </w:tc>
        <w:tc>
          <w:tcPr>
            <w:tcW w:type="dxa" w:w="2494"/>
            <w:shd w:val="clear" w:color="auto" w:fill="F1F3E8"/>
          </w:tcPr>
          <w:p>
            <w:pPr>
              <w:spacing w:after="0"/>
            </w:pPr>
            <w:r/>
            <w:r>
              <w:rPr>
                <w:b w:val="0"/>
                <w:i w:val="0"/>
                <w:sz w:val="20"/>
              </w:rPr>
              <w:t>Un modèle de langage invente des chiffres dans ses réponses : corrige ce problème.</w:t>
            </w:r>
          </w:p>
        </w:tc>
        <w:tc>
          <w:tcPr>
            <w:tcW w:type="dxa" w:w="2381"/>
            <w:shd w:val="clear" w:color="auto" w:fill="F1F3E8"/>
          </w:tcPr>
          <w:p>
            <w:pPr>
              <w:spacing w:after="0"/>
            </w:pPr>
            <w:r/>
            <w:r>
              <w:rPr>
                <w:b w:val="0"/>
                <w:i w:val="0"/>
                <w:sz w:val="20"/>
              </w:rPr>
              <w:t>Modèle retiré, prompt de 10 règles et exemples few-shot</w:t>
            </w:r>
          </w:p>
        </w:tc>
        <w:tc>
          <w:tcPr>
            <w:tcW w:type="dxa" w:w="1984"/>
            <w:shd w:val="clear" w:color="auto" w:fill="F1F3E8"/>
          </w:tcPr>
          <w:p>
            <w:pPr>
              <w:spacing w:after="0"/>
            </w:pPr>
            <w:r/>
            <w:r>
              <w:rPr>
                <w:b w:val="0"/>
                <w:i w:val="0"/>
                <w:sz w:val="20"/>
              </w:rPr>
              <w:t>Réponses relues : aucun chiffre inventé ; 55 tests</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TF-IDF mots + régression logistique (référence)</w:t>
            </w:r>
          </w:p>
        </w:tc>
        <w:tc>
          <w:tcPr>
            <w:tcW w:type="dxa" w:w="4535"/>
          </w:tcPr>
          <w:p>
            <w:pPr>
              <w:spacing w:after="0"/>
            </w:pPr>
            <w:r/>
            <w:r>
              <w:rPr>
                <w:b w:val="0"/>
                <w:i w:val="0"/>
                <w:sz w:val="20"/>
              </w:rPr>
              <w:t>F1 macro 0,72 · 16/25</w:t>
            </w:r>
          </w:p>
        </w:tc>
      </w:tr>
      <w:tr>
        <w:tc>
          <w:tcPr>
            <w:tcW w:type="dxa" w:w="4876"/>
            <w:shd w:val="clear" w:color="auto" w:fill="F1F3E8"/>
          </w:tcPr>
          <w:p>
            <w:pPr>
              <w:spacing w:after="0"/>
            </w:pPr>
            <w:r/>
            <w:r>
              <w:rPr>
                <w:b w:val="0"/>
                <w:i w:val="0"/>
                <w:sz w:val="20"/>
              </w:rPr>
              <w:t>TF-IDF caractères (modèle retenu)</w:t>
            </w:r>
          </w:p>
        </w:tc>
        <w:tc>
          <w:tcPr>
            <w:tcW w:type="dxa" w:w="4535"/>
            <w:shd w:val="clear" w:color="auto" w:fill="F1F3E8"/>
          </w:tcPr>
          <w:p>
            <w:pPr>
              <w:spacing w:after="0"/>
            </w:pPr>
            <w:r/>
            <w:r>
              <w:rPr>
                <w:b w:val="0"/>
                <w:i w:val="0"/>
                <w:sz w:val="20"/>
              </w:rPr>
              <w:t>F1 macro 0,75 · 19/25</w:t>
            </w:r>
          </w:p>
        </w:tc>
      </w:tr>
      <w:tr>
        <w:tc>
          <w:tcPr>
            <w:tcW w:type="dxa" w:w="4876"/>
          </w:tcPr>
          <w:p>
            <w:pPr>
              <w:spacing w:after="0"/>
            </w:pPr>
            <w:r/>
            <w:r>
              <w:rPr>
                <w:b w:val="0"/>
                <w:i w:val="0"/>
                <w:sz w:val="20"/>
              </w:rPr>
              <w:t>TF-IDF mots + caractères</w:t>
            </w:r>
          </w:p>
        </w:tc>
        <w:tc>
          <w:tcPr>
            <w:tcW w:type="dxa" w:w="4535"/>
          </w:tcPr>
          <w:p>
            <w:pPr>
              <w:spacing w:after="0"/>
            </w:pPr>
            <w:r/>
            <w:r>
              <w:rPr>
                <w:b w:val="0"/>
                <w:i w:val="0"/>
                <w:sz w:val="20"/>
              </w:rPr>
              <w:t>F1 macro 0,75 · 18/25</w:t>
            </w:r>
          </w:p>
        </w:tc>
      </w:tr>
    </w:tbl>
    <w:p>
      <w:pPr>
        <w:spacing w:after="40"/>
      </w:pPr>
    </w:p>
    <w:p>
      <w:pPr>
        <w:spacing w:after="120"/>
      </w:pPr>
      <w:r>
        <w:rPr>
          <w:i w:val="0"/>
        </w:rPr>
        <w:t>Les groupes de caractères absorbent l’orthographe variable de l’arabizi. Gemini, avec Groq en secours, rédige la réponse en derja à partir des chiffres des modules, encadré par un prompt de 10 règles et des exemples few-shot.</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Jeu de données</w:t>
            </w:r>
          </w:p>
        </w:tc>
        <w:tc>
          <w:tcPr>
            <w:tcW w:type="dxa" w:w="3628"/>
          </w:tcPr>
          <w:p>
            <w:pPr>
              <w:spacing w:after="0"/>
            </w:pPr>
            <w:r/>
            <w:r>
              <w:rPr>
                <w:b w:val="0"/>
                <w:i w:val="0"/>
                <w:sz w:val="20"/>
              </w:rPr>
              <w:t>Questions variées en arabizi, arabe et français</w:t>
            </w:r>
          </w:p>
        </w:tc>
        <w:tc>
          <w:tcPr>
            <w:tcW w:type="dxa" w:w="2948"/>
          </w:tcPr>
          <w:p>
            <w:pPr>
              <w:spacing w:after="0"/>
            </w:pPr>
            <w:r/>
            <w:r>
              <w:rPr>
                <w:b w:val="0"/>
                <w:i w:val="0"/>
                <w:sz w:val="20"/>
              </w:rPr>
              <w:t>Questions à relire par un locuteur</w:t>
            </w:r>
          </w:p>
        </w:tc>
      </w:tr>
      <w:tr>
        <w:tc>
          <w:tcPr>
            <w:tcW w:type="dxa" w:w="2835"/>
            <w:shd w:val="clear" w:color="auto" w:fill="F1F3E8"/>
          </w:tcPr>
          <w:p>
            <w:pPr>
              <w:spacing w:after="0"/>
            </w:pPr>
            <w:r/>
            <w:r>
              <w:rPr>
                <w:b w:val="0"/>
                <w:i w:val="0"/>
                <w:sz w:val="20"/>
              </w:rPr>
              <w:t>Prompt engineering</w:t>
            </w:r>
          </w:p>
        </w:tc>
        <w:tc>
          <w:tcPr>
            <w:tcW w:type="dxa" w:w="3628"/>
            <w:shd w:val="clear" w:color="auto" w:fill="F1F3E8"/>
          </w:tcPr>
          <w:p>
            <w:pPr>
              <w:spacing w:after="0"/>
            </w:pPr>
            <w:r/>
            <w:r>
              <w:rPr>
                <w:b w:val="0"/>
                <w:i w:val="0"/>
                <w:sz w:val="20"/>
              </w:rPr>
              <w:t>Règles et exemples few-shot proposés et testés</w:t>
            </w:r>
          </w:p>
        </w:tc>
        <w:tc>
          <w:tcPr>
            <w:tcW w:type="dxa" w:w="2948"/>
            <w:shd w:val="clear" w:color="auto" w:fill="F1F3E8"/>
          </w:tcPr>
          <w:p>
            <w:pPr>
              <w:spacing w:after="0"/>
            </w:pPr>
            <w:r/>
            <w:r>
              <w:rPr>
                <w:b w:val="0"/>
                <w:i w:val="0"/>
                <w:sz w:val="20"/>
              </w:rPr>
              <w:t>Comportement du LLM non déterministe</w:t>
            </w:r>
          </w:p>
        </w:tc>
      </w:tr>
      <w:tr>
        <w:tc>
          <w:tcPr>
            <w:tcW w:type="dxa" w:w="2835"/>
          </w:tcPr>
          <w:p>
            <w:pPr>
              <w:spacing w:after="0"/>
            </w:pPr>
            <w:r/>
            <w:r>
              <w:rPr>
                <w:b w:val="0"/>
                <w:i w:val="0"/>
                <w:sz w:val="20"/>
              </w:rPr>
              <w:t>Tests</w:t>
            </w:r>
          </w:p>
        </w:tc>
        <w:tc>
          <w:tcPr>
            <w:tcW w:type="dxa" w:w="3628"/>
          </w:tcPr>
          <w:p>
            <w:pPr>
              <w:spacing w:after="0"/>
            </w:pPr>
            <w:r/>
            <w:r>
              <w:rPr>
                <w:b w:val="0"/>
                <w:i w:val="0"/>
                <w:sz w:val="20"/>
              </w:rPr>
              <w:t>55 tests sur les règles, le LLM et le modèle</w:t>
            </w:r>
          </w:p>
        </w:tc>
        <w:tc>
          <w:tcPr>
            <w:tcW w:type="dxa" w:w="2948"/>
          </w:tcPr>
          <w:p>
            <w:pPr>
              <w:spacing w:after="0"/>
            </w:pPr>
            <w:r/>
            <w:r>
              <w:rPr>
                <w:b w:val="0"/>
                <w:i w:val="0"/>
                <w:sz w:val="20"/>
              </w:rPr>
              <w:t>Le test en direct demande une clé d’API</w:t>
            </w:r>
          </w:p>
        </w:tc>
      </w:tr>
    </w:tbl>
    <w:p>
      <w:pPr>
        <w:spacing w:after="40"/>
      </w:pPr>
    </w:p>
    <w:p>
      <w:pPr>
        <w:pStyle w:val="Heading1"/>
      </w:pPr>
      <w:r>
        <w:t>7. Limites et bonnes pratiques retenues</w:t>
      </w:r>
    </w:p>
    <w:p>
      <w:pPr>
        <w:pStyle w:val="ListBullet"/>
      </w:pPr>
      <w:r>
        <w:t>Ancrer le LLM dans des faits mesurés évite les hallucinations.</w:t>
      </w:r>
    </w:p>
    <w:p>
      <w:pPr>
        <w:pStyle w:val="ListBullet"/>
      </w:pPr>
      <w:r>
        <w:t>Prévoir des solutions de repli : quota dépassé, service indisponible, absence de LLM.</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accéléré la construction du jeu de questions, du classifieur et du prompt de l’assistant ; les réponses en derja s’appuient sur les vrais chiffres des modules, avec une chaîne de LLM de secours.</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Rima Jenhani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