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w:t>
      </w:r>
    </w:p>
    <w:p>
      <w:pPr>
        <w:pStyle w:val="Subtitle"/>
      </w:pPr>
      <w:r>
        <w:t>NetOps AI — Plateforme de Network Automation, Observability &amp; AIOps</w:t>
      </w:r>
    </w:p>
    <w:p>
      <w:r>
        <w:t>Version 1.0  •  Statut : projet en développement  •  Environnement : laboratoire GNS3/FRRouting</w:t>
      </w:r>
    </w:p>
    <w:p>
      <w:pPr>
        <w:pStyle w:val="Heading1"/>
      </w:pPr>
      <w:r>
        <w:t>1. Contexte et problématique</w:t>
      </w:r>
    </w:p>
    <w:p>
      <w:r>
        <w:t>Les équipes d’exploitation réseau doivent superviser la disponibilité des équipements, comprendre les incidents, maîtriser les changements de configuration et réduire le temps de diagnostic. Le projet propose un laboratoire reproductible et une plateforme intégrée d’automatisation et d’observabilité, avec assistance au diagnostic.</w:t>
      </w:r>
    </w:p>
    <w:p>
      <w:pPr>
        <w:pStyle w:val="Heading1"/>
      </w:pPr>
      <w:r>
        <w:t>2. Objectifs</w:t>
      </w:r>
    </w:p>
    <w:p>
      <w:pPr>
        <w:pStyle w:val="ListBullet"/>
      </w:pPr>
      <w:r>
        <w:t>Centraliser une topologie et un inventaire cohérents des équipements et interfaces.</w:t>
      </w:r>
    </w:p>
    <w:p>
      <w:pPr>
        <w:pStyle w:val="ListBullet"/>
      </w:pPr>
      <w:r>
        <w:t>Automatiser la sauvegarde, la vérification et le déploiement contrôlé des configurations.</w:t>
      </w:r>
    </w:p>
    <w:p>
      <w:pPr>
        <w:pStyle w:val="ListBullet"/>
      </w:pPr>
      <w:r>
        <w:t>Collecter métriques, états OSPF et journaux pour détecter les incidents.</w:t>
      </w:r>
    </w:p>
    <w:p>
      <w:pPr>
        <w:pStyle w:val="ListBullet"/>
      </w:pPr>
      <w:r>
        <w:t>Corréler les symptômes afin de proposer des causes probables et d’estimer les impacts.</w:t>
      </w:r>
    </w:p>
    <w:p>
      <w:pPr>
        <w:pStyle w:val="ListBullet"/>
      </w:pPr>
      <w:r>
        <w:t>Présenter les alertes, diagnostics et historiques dans une interface exploitable.</w:t>
      </w:r>
    </w:p>
    <w:p>
      <w:pPr>
        <w:pStyle w:val="ListBullet"/>
      </w:pPr>
      <w:r>
        <w:t>Documenter, tester et démontrer les fonctionnalités dans des scénarios reproductibles.</w:t>
      </w:r>
    </w:p>
    <w:p>
      <w:pPr>
        <w:pStyle w:val="Heading1"/>
      </w:pPr>
      <w:r>
        <w:t>3. Périmètre et hypothèses</w:t>
      </w:r>
    </w:p>
    <w:p>
      <w:pPr>
        <w:pStyle w:val="Heading2"/>
      </w:pPr>
      <w:r>
        <w:t>Inclus</w:t>
      </w:r>
    </w:p>
    <w:p>
      <w:r>
        <w:t>Topologie de départ R1–R2–R3, LAN PC1 et PC2, routage OSPF ; scénarios de panne/rétablissement ; automatisation Ansible ; collecte et supervision Prometheus/Grafana ; journaux ; moteur de diagnostic ; API ; tests et documentation.</w:t>
      </w:r>
    </w:p>
    <w:p>
      <w:pPr>
        <w:pStyle w:val="Heading2"/>
      </w:pPr>
      <w:r>
        <w:t>Extensions conditionnelles</w:t>
      </w:r>
    </w:p>
    <w:p>
      <w:r>
        <w:t>BGP, VLAN/ACL, NetBox, validation Batfish, modèles scikit-learn et assistant LLM sont envisagés uniquement après validation de la faisabilité et des ressources. Les outils ne sont pas ajoutés uniquement pour multiplier les technologies.</w:t>
      </w:r>
    </w:p>
    <w:p>
      <w:pPr>
        <w:pStyle w:val="Heading2"/>
      </w:pPr>
      <w:r>
        <w:t>Hors périmètre initial</w:t>
      </w:r>
    </w:p>
    <w:p>
      <w:r>
        <w:t>Production sur équipements réels, remédiation autonome sans approbation, garantie de diagnostic parfait et haute disponibilité industrielle.</w:t>
      </w:r>
    </w:p>
    <w:p>
      <w:pPr>
        <w:pStyle w:val="Heading1"/>
      </w:pPr>
      <w:r>
        <w:t>4. Exigences fonctionnelles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Exigence</w:t>
            </w:r>
          </w:p>
        </w:tc>
        <w:tc>
          <w:tcPr>
            <w:tcW w:type="dxa" w:w="2880"/>
          </w:tcPr>
          <w:p>
            <w:r>
              <w:t>Critère d’acceptation</w:t>
            </w:r>
          </w:p>
        </w:tc>
      </w:tr>
      <w:tr>
        <w:tc>
          <w:tcPr>
            <w:tcW w:type="dxa" w:w="2880"/>
          </w:tcPr>
          <w:p>
            <w:r>
              <w:t>F01</w:t>
            </w:r>
          </w:p>
        </w:tc>
        <w:tc>
          <w:tcPr>
            <w:tcW w:type="dxa" w:w="2880"/>
          </w:tcPr>
          <w:p>
            <w:r>
              <w:t>Découvrir et référencer les équipements</w:t>
            </w:r>
          </w:p>
        </w:tc>
        <w:tc>
          <w:tcPr>
            <w:tcW w:type="dxa" w:w="2880"/>
          </w:tcPr>
          <w:p>
            <w:r>
              <w:t>Inventaire R1/R2/R3, IP, interfaces et liens cohérents.</w:t>
            </w:r>
          </w:p>
        </w:tc>
      </w:tr>
      <w:tr>
        <w:tc>
          <w:tcPr>
            <w:tcW w:type="dxa" w:w="2880"/>
          </w:tcPr>
          <w:p>
            <w:r>
              <w:t>F02</w:t>
            </w:r>
          </w:p>
        </w:tc>
        <w:tc>
          <w:tcPr>
            <w:tcW w:type="dxa" w:w="2880"/>
          </w:tcPr>
          <w:p>
            <w:r>
              <w:t>Collecter les états réseau</w:t>
            </w:r>
          </w:p>
        </w:tc>
        <w:tc>
          <w:tcPr>
            <w:tcW w:type="dxa" w:w="2880"/>
          </w:tcPr>
          <w:p>
            <w:r>
              <w:t>Interfaces, voisins OSPF, routes et disponibilité accessibles.</w:t>
            </w:r>
          </w:p>
        </w:tc>
      </w:tr>
      <w:tr>
        <w:tc>
          <w:tcPr>
            <w:tcW w:type="dxa" w:w="2880"/>
          </w:tcPr>
          <w:p>
            <w:r>
              <w:t>F03</w:t>
            </w:r>
          </w:p>
        </w:tc>
        <w:tc>
          <w:tcPr>
            <w:tcW w:type="dxa" w:w="2880"/>
          </w:tcPr>
          <w:p>
            <w:r>
              <w:t>Automatiser les configurations</w:t>
            </w:r>
          </w:p>
        </w:tc>
        <w:tc>
          <w:tcPr>
            <w:tcW w:type="dxa" w:w="2880"/>
          </w:tcPr>
          <w:p>
            <w:r>
              <w:t>Playbook idempotent, sauvegarde préalable et rapport de changements.</w:t>
            </w:r>
          </w:p>
        </w:tc>
      </w:tr>
      <w:tr>
        <w:tc>
          <w:tcPr>
            <w:tcW w:type="dxa" w:w="2880"/>
          </w:tcPr>
          <w:p>
            <w:r>
              <w:t>F04</w:t>
            </w:r>
          </w:p>
        </w:tc>
        <w:tc>
          <w:tcPr>
            <w:tcW w:type="dxa" w:w="2880"/>
          </w:tcPr>
          <w:p>
            <w:r>
              <w:t>Superviser en continu</w:t>
            </w:r>
          </w:p>
        </w:tc>
        <w:tc>
          <w:tcPr>
            <w:tcW w:type="dxa" w:w="2880"/>
          </w:tcPr>
          <w:p>
            <w:r>
              <w:t>Métriques horodatées et dashboard opérationnel.</w:t>
            </w:r>
          </w:p>
        </w:tc>
      </w:tr>
      <w:tr>
        <w:tc>
          <w:tcPr>
            <w:tcW w:type="dxa" w:w="2880"/>
          </w:tcPr>
          <w:p>
            <w:r>
              <w:t>F05</w:t>
            </w:r>
          </w:p>
        </w:tc>
        <w:tc>
          <w:tcPr>
            <w:tcW w:type="dxa" w:w="2880"/>
          </w:tcPr>
          <w:p>
            <w:r>
              <w:t>Détecter les incidents</w:t>
            </w:r>
          </w:p>
        </w:tc>
        <w:tc>
          <w:tcPr>
            <w:tcW w:type="dxa" w:w="2880"/>
          </w:tcPr>
          <w:p>
            <w:r>
              <w:t>Alerte sur perte d’adjacence R2–R3 dans un délai mesuré.</w:t>
            </w:r>
          </w:p>
        </w:tc>
      </w:tr>
      <w:tr>
        <w:tc>
          <w:tcPr>
            <w:tcW w:type="dxa" w:w="2880"/>
          </w:tcPr>
          <w:p>
            <w:r>
              <w:t>F06</w:t>
            </w:r>
          </w:p>
        </w:tc>
        <w:tc>
          <w:tcPr>
            <w:tcW w:type="dxa" w:w="2880"/>
          </w:tcPr>
          <w:p>
            <w:r>
              <w:t>Corréler les symptômes</w:t>
            </w:r>
          </w:p>
        </w:tc>
        <w:tc>
          <w:tcPr>
            <w:tcW w:type="dxa" w:w="2880"/>
          </w:tcPr>
          <w:p>
            <w:r>
              <w:t>Rapport expliquant interfaces UP/DOWN, OSPF et connectivité.</w:t>
            </w:r>
          </w:p>
        </w:tc>
      </w:tr>
      <w:tr>
        <w:tc>
          <w:tcPr>
            <w:tcW w:type="dxa" w:w="2880"/>
          </w:tcPr>
          <w:p>
            <w:r>
              <w:t>F07</w:t>
            </w:r>
          </w:p>
        </w:tc>
        <w:tc>
          <w:tcPr>
            <w:tcW w:type="dxa" w:w="2880"/>
          </w:tcPr>
          <w:p>
            <w:r>
              <w:t>Historiser les événements</w:t>
            </w:r>
          </w:p>
        </w:tc>
        <w:tc>
          <w:tcPr>
            <w:tcW w:type="dxa" w:w="2880"/>
          </w:tcPr>
          <w:p>
            <w:r>
              <w:t>Début, fin, sévérité et équipement concerné consultables.</w:t>
            </w:r>
          </w:p>
        </w:tc>
      </w:tr>
      <w:tr>
        <w:tc>
          <w:tcPr>
            <w:tcW w:type="dxa" w:w="2880"/>
          </w:tcPr>
          <w:p>
            <w:r>
              <w:t>F08</w:t>
            </w:r>
          </w:p>
        </w:tc>
        <w:tc>
          <w:tcPr>
            <w:tcW w:type="dxa" w:w="2880"/>
          </w:tcPr>
          <w:p>
            <w:r>
              <w:t>Recommander une action</w:t>
            </w:r>
          </w:p>
        </w:tc>
        <w:tc>
          <w:tcPr>
            <w:tcW w:type="dxa" w:w="2880"/>
          </w:tcPr>
          <w:p>
            <w:r>
              <w:t>Suggestion justifiée, non exécutée sans approbation.</w:t>
            </w:r>
          </w:p>
        </w:tc>
      </w:tr>
      <w:tr>
        <w:tc>
          <w:tcPr>
            <w:tcW w:type="dxa" w:w="2880"/>
          </w:tcPr>
          <w:p>
            <w:r>
              <w:t>F09</w:t>
            </w:r>
          </w:p>
        </w:tc>
        <w:tc>
          <w:tcPr>
            <w:tcW w:type="dxa" w:w="2880"/>
          </w:tcPr>
          <w:p>
            <w:r>
              <w:t>Exposer une API</w:t>
            </w:r>
          </w:p>
        </w:tc>
        <w:tc>
          <w:tcPr>
            <w:tcW w:type="dxa" w:w="2880"/>
          </w:tcPr>
          <w:p>
            <w:r>
              <w:t>Endpoints documentés pour états et incidents.</w:t>
            </w:r>
          </w:p>
        </w:tc>
      </w:tr>
      <w:tr>
        <w:tc>
          <w:tcPr>
            <w:tcW w:type="dxa" w:w="2880"/>
          </w:tcPr>
          <w:p>
            <w:r>
              <w:t>F10</w:t>
            </w:r>
          </w:p>
        </w:tc>
        <w:tc>
          <w:tcPr>
            <w:tcW w:type="dxa" w:w="2880"/>
          </w:tcPr>
          <w:p>
            <w:r>
              <w:t>Démontrer le rétablissement</w:t>
            </w:r>
          </w:p>
        </w:tc>
        <w:tc>
          <w:tcPr>
            <w:tcW w:type="dxa" w:w="2880"/>
          </w:tcPr>
          <w:p>
            <w:r>
              <w:t>Retour à la normale visible et incident clôturé.</w:t>
            </w:r>
          </w:p>
        </w:tc>
      </w:tr>
    </w:tbl>
    <w:p>
      <w:pPr>
        <w:pStyle w:val="Heading1"/>
      </w:pPr>
      <w:r>
        <w:t>5. Exigences non fonctionnelles</w:t>
      </w:r>
    </w:p>
    <w:p>
      <w:pPr>
        <w:pStyle w:val="ListBullet"/>
      </w:pPr>
      <w:r>
        <w:t>Sécurité : secrets hors du dépôt, accès SSH contrôlé, permissions minimales.</w:t>
      </w:r>
    </w:p>
    <w:p>
      <w:pPr>
        <w:pStyle w:val="ListBullet"/>
      </w:pPr>
      <w:r>
        <w:t>Traçabilité : horodatage, logs d’exécution et historique des modifications.</w:t>
      </w:r>
    </w:p>
    <w:p>
      <w:pPr>
        <w:pStyle w:val="ListBullet"/>
      </w:pPr>
      <w:r>
        <w:t>Maintenabilité : composants modulaires, configuration externe et documentation.</w:t>
      </w:r>
    </w:p>
    <w:p>
      <w:pPr>
        <w:pStyle w:val="ListBullet"/>
      </w:pPr>
      <w:r>
        <w:t>Fiabilité : distinguer données indisponibles, tests impossibles et pannes réelles.</w:t>
      </w:r>
    </w:p>
    <w:p>
      <w:pPr>
        <w:pStyle w:val="ListBullet"/>
      </w:pPr>
      <w:r>
        <w:t>Reproductibilité : procédures d’installation et tests automatisés.</w:t>
      </w:r>
    </w:p>
    <w:p>
      <w:pPr>
        <w:pStyle w:val="ListBullet"/>
      </w:pPr>
      <w:r>
        <w:t>Performance : fréquence de collecte adaptée aux ressources ; mesurer la latence d’alerte.</w:t>
      </w:r>
    </w:p>
    <w:p>
      <w:pPr>
        <w:pStyle w:val="Heading1"/>
      </w:pPr>
      <w:r>
        <w:t>6. Architecture et choix technologiques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Couche</w:t>
            </w:r>
          </w:p>
        </w:tc>
        <w:tc>
          <w:tcPr>
            <w:tcW w:type="dxa" w:w="2880"/>
          </w:tcPr>
          <w:p>
            <w:r>
              <w:t>Technologies envisagées</w:t>
            </w:r>
          </w:p>
        </w:tc>
        <w:tc>
          <w:tcPr>
            <w:tcW w:type="dxa" w:w="2880"/>
          </w:tcPr>
          <w:p>
            <w:r>
              <w:t>Responsabilité</w:t>
            </w:r>
          </w:p>
        </w:tc>
      </w:tr>
      <w:tr>
        <w:tc>
          <w:tcPr>
            <w:tcW w:type="dxa" w:w="2880"/>
          </w:tcPr>
          <w:p>
            <w:r>
              <w:t>Laboratoire</w:t>
            </w:r>
          </w:p>
        </w:tc>
        <w:tc>
          <w:tcPr>
            <w:tcW w:type="dxa" w:w="2880"/>
          </w:tcPr>
          <w:p>
            <w:r>
              <w:t>GNS3, Docker, FRRouting</w:t>
            </w:r>
          </w:p>
        </w:tc>
        <w:tc>
          <w:tcPr>
            <w:tcW w:type="dxa" w:w="2880"/>
          </w:tcPr>
          <w:p>
            <w:r>
              <w:t>Topologie, routage et scénarios d’incident</w:t>
            </w:r>
          </w:p>
        </w:tc>
      </w:tr>
      <w:tr>
        <w:tc>
          <w:tcPr>
            <w:tcW w:type="dxa" w:w="2880"/>
          </w:tcPr>
          <w:p>
            <w:r>
              <w:t>Source de vérité</w:t>
            </w:r>
          </w:p>
        </w:tc>
        <w:tc>
          <w:tcPr>
            <w:tcW w:type="dxa" w:w="2880"/>
          </w:tcPr>
          <w:p>
            <w:r>
              <w:t>NetBox</w:t>
            </w:r>
          </w:p>
        </w:tc>
        <w:tc>
          <w:tcPr>
            <w:tcW w:type="dxa" w:w="2880"/>
          </w:tcPr>
          <w:p>
            <w:r>
              <w:t>Inventaire, interfaces, IP et liens</w:t>
            </w:r>
          </w:p>
        </w:tc>
      </w:tr>
      <w:tr>
        <w:tc>
          <w:tcPr>
            <w:tcW w:type="dxa" w:w="2880"/>
          </w:tcPr>
          <w:p>
            <w:r>
              <w:t>Automatisation</w:t>
            </w:r>
          </w:p>
        </w:tc>
        <w:tc>
          <w:tcPr>
            <w:tcW w:type="dxa" w:w="2880"/>
          </w:tcPr>
          <w:p>
            <w:r>
              <w:t>Ansible, Netmiko, Jinja2, Git</w:t>
            </w:r>
          </w:p>
        </w:tc>
        <w:tc>
          <w:tcPr>
            <w:tcW w:type="dxa" w:w="2880"/>
          </w:tcPr>
          <w:p>
            <w:r>
              <w:t>Configuration et contrôle des changements</w:t>
            </w:r>
          </w:p>
        </w:tc>
      </w:tr>
      <w:tr>
        <w:tc>
          <w:tcPr>
            <w:tcW w:type="dxa" w:w="2880"/>
          </w:tcPr>
          <w:p>
            <w:r>
              <w:t>Métriques</w:t>
            </w:r>
          </w:p>
        </w:tc>
        <w:tc>
          <w:tcPr>
            <w:tcW w:type="dxa" w:w="2880"/>
          </w:tcPr>
          <w:p>
            <w:r>
              <w:t>Prometheus, exporters</w:t>
            </w:r>
          </w:p>
        </w:tc>
        <w:tc>
          <w:tcPr>
            <w:tcW w:type="dxa" w:w="2880"/>
          </w:tcPr>
          <w:p>
            <w:r>
              <w:t>Collecte de séries temporelles</w:t>
            </w:r>
          </w:p>
        </w:tc>
      </w:tr>
      <w:tr>
        <w:tc>
          <w:tcPr>
            <w:tcW w:type="dxa" w:w="2880"/>
          </w:tcPr>
          <w:p>
            <w:r>
              <w:t>Logs</w:t>
            </w:r>
          </w:p>
        </w:tc>
        <w:tc>
          <w:tcPr>
            <w:tcW w:type="dxa" w:w="2880"/>
          </w:tcPr>
          <w:p>
            <w:r>
              <w:t>Loki, Fluent Bit</w:t>
            </w:r>
          </w:p>
        </w:tc>
        <w:tc>
          <w:tcPr>
            <w:tcW w:type="dxa" w:w="2880"/>
          </w:tcPr>
          <w:p>
            <w:r>
              <w:t>Centralisation des événements</w:t>
            </w:r>
          </w:p>
        </w:tc>
      </w:tr>
      <w:tr>
        <w:tc>
          <w:tcPr>
            <w:tcW w:type="dxa" w:w="2880"/>
          </w:tcPr>
          <w:p>
            <w:r>
              <w:t>Visualisation/alertes</w:t>
            </w:r>
          </w:p>
        </w:tc>
        <w:tc>
          <w:tcPr>
            <w:tcW w:type="dxa" w:w="2880"/>
          </w:tcPr>
          <w:p>
            <w:r>
              <w:t>Grafana, Alertmanager</w:t>
            </w:r>
          </w:p>
        </w:tc>
        <w:tc>
          <w:tcPr>
            <w:tcW w:type="dxa" w:w="2880"/>
          </w:tcPr>
          <w:p>
            <w:r>
              <w:t>Dashboards et notifications</w:t>
            </w:r>
          </w:p>
        </w:tc>
      </w:tr>
      <w:tr>
        <w:tc>
          <w:tcPr>
            <w:tcW w:type="dxa" w:w="2880"/>
          </w:tcPr>
          <w:p>
            <w:r>
              <w:t>Analyse</w:t>
            </w:r>
          </w:p>
        </w:tc>
        <w:tc>
          <w:tcPr>
            <w:tcW w:type="dxa" w:w="2880"/>
          </w:tcPr>
          <w:p>
            <w:r>
              <w:t>Python, NetworkX, règles ; scikit-learn optionnel</w:t>
            </w:r>
          </w:p>
        </w:tc>
        <w:tc>
          <w:tcPr>
            <w:tcW w:type="dxa" w:w="2880"/>
          </w:tcPr>
          <w:p>
            <w:r>
              <w:t>Corrélation, impact et anomalies</w:t>
            </w:r>
          </w:p>
        </w:tc>
      </w:tr>
      <w:tr>
        <w:tc>
          <w:tcPr>
            <w:tcW w:type="dxa" w:w="2880"/>
          </w:tcPr>
          <w:p>
            <w:r>
              <w:t>API et données</w:t>
            </w:r>
          </w:p>
        </w:tc>
        <w:tc>
          <w:tcPr>
            <w:tcW w:type="dxa" w:w="2880"/>
          </w:tcPr>
          <w:p>
            <w:r>
              <w:t>FastAPI, PostgreSQL</w:t>
            </w:r>
          </w:p>
        </w:tc>
        <w:tc>
          <w:tcPr>
            <w:tcW w:type="dxa" w:w="2880"/>
          </w:tcPr>
          <w:p>
            <w:r>
              <w:t>Services et historique métier</w:t>
            </w:r>
          </w:p>
        </w:tc>
      </w:tr>
      <w:tr>
        <w:tc>
          <w:tcPr>
            <w:tcW w:type="dxa" w:w="2880"/>
          </w:tcPr>
          <w:p>
            <w:r>
              <w:t>Livraison</w:t>
            </w:r>
          </w:p>
        </w:tc>
        <w:tc>
          <w:tcPr>
            <w:tcW w:type="dxa" w:w="2880"/>
          </w:tcPr>
          <w:p>
            <w:r>
              <w:t>Docker Compose, pytest, GitHub Actions</w:t>
            </w:r>
          </w:p>
        </w:tc>
        <w:tc>
          <w:tcPr>
            <w:tcW w:type="dxa" w:w="2880"/>
          </w:tcPr>
          <w:p>
            <w:r>
              <w:t>Déploiement, tests et CI</w:t>
            </w:r>
          </w:p>
        </w:tc>
      </w:tr>
    </w:tbl>
    <w:p>
      <w:r>
        <w:t>Contraintes d’intégration : FRRouting doit exposer les données par CLI, API ou exporter adapté ; Netmiko exige SSH sur les routeurs ; le serveur de supervision peut nécessiter un hébergement séparé de la GNS3 VM.</w:t>
      </w:r>
    </w:p>
    <w:p>
      <w:pPr>
        <w:pStyle w:val="Heading1"/>
      </w:pPr>
      <w:r>
        <w:t>7. État initial déjà validé</w:t>
      </w:r>
    </w:p>
    <w:p>
      <w:pPr>
        <w:pStyle w:val="ListBullet"/>
      </w:pPr>
      <w:r>
        <w:t>Adjacences OSPF R1–R2 et R2–R3 FULL et routes inter-LAN apprises.</w:t>
      </w:r>
    </w:p>
    <w:p>
      <w:pPr>
        <w:pStyle w:val="ListBullet"/>
      </w:pPr>
      <w:r>
        <w:t>Collecte CLI FRRouting automatisée et export JSON fonctionnels.</w:t>
      </w:r>
    </w:p>
    <w:p>
      <w:pPr>
        <w:pStyle w:val="ListBullet"/>
      </w:pPr>
      <w:r>
        <w:t>Détection d’une panne simulée R2–R3 puis du rétablissement.</w:t>
      </w:r>
    </w:p>
    <w:p>
      <w:pPr>
        <w:pStyle w:val="ListBullet"/>
      </w:pPr>
      <w:r>
        <w:t>Analyse croisée interfaces/OSPF/ping et export de rapport.</w:t>
      </w:r>
    </w:p>
    <w:p>
      <w:pPr>
        <w:pStyle w:val="ListBullet"/>
      </w:pPr>
      <w:r>
        <w:t>Dashboard Streamlit initial exécuté.</w:t>
      </w:r>
    </w:p>
    <w:p>
      <w:r>
        <w:t>Dette technique identifiée : identifiants Docker statiques, sorties CLI partiellement non structurées, déclenchement manuel de la collecte, persistance des configurations FRR à fiabiliser, pas encore de stockage historique robuste.</w:t>
      </w:r>
    </w:p>
    <w:p>
      <w:pPr>
        <w:pStyle w:val="Heading1"/>
      </w:pPr>
      <w:r>
        <w:t>8. Phases, livrables et estimation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Phase</w:t>
            </w:r>
          </w:p>
        </w:tc>
        <w:tc>
          <w:tcPr>
            <w:tcW w:type="dxa" w:w="2880"/>
          </w:tcPr>
          <w:p>
            <w:r>
              <w:t>Livrables</w:t>
            </w:r>
          </w:p>
        </w:tc>
        <w:tc>
          <w:tcPr>
            <w:tcW w:type="dxa" w:w="2880"/>
          </w:tcPr>
          <w:p>
            <w:r>
              <w:t>Estimation</w:t>
            </w:r>
          </w:p>
        </w:tc>
      </w:tr>
      <w:tr>
        <w:tc>
          <w:tcPr>
            <w:tcW w:type="dxa" w:w="2880"/>
          </w:tcPr>
          <w:p>
            <w:r>
              <w:t>P1</w:t>
            </w:r>
          </w:p>
        </w:tc>
        <w:tc>
          <w:tcPr>
            <w:tcW w:type="dxa" w:w="2880"/>
          </w:tcPr>
          <w:p>
            <w:r>
              <w:t>SSH FRR, sauvegarde persistante, inventaire, playbooks Ansible</w:t>
            </w:r>
          </w:p>
        </w:tc>
        <w:tc>
          <w:tcPr>
            <w:tcW w:type="dxa" w:w="2880"/>
          </w:tcPr>
          <w:p>
            <w:r>
              <w:t>1–2 semaines</w:t>
            </w:r>
          </w:p>
        </w:tc>
      </w:tr>
      <w:tr>
        <w:tc>
          <w:tcPr>
            <w:tcW w:type="dxa" w:w="2880"/>
          </w:tcPr>
          <w:p>
            <w:r>
              <w:t>P2</w:t>
            </w:r>
          </w:p>
        </w:tc>
        <w:tc>
          <w:tcPr>
            <w:tcW w:type="dxa" w:w="2880"/>
          </w:tcPr>
          <w:p>
            <w:r>
              <w:t>Prometheus/exporters, Grafana, alerting, logs essentiels</w:t>
            </w:r>
          </w:p>
        </w:tc>
        <w:tc>
          <w:tcPr>
            <w:tcW w:type="dxa" w:w="2880"/>
          </w:tcPr>
          <w:p>
            <w:r>
              <w:t>1–2 semaines</w:t>
            </w:r>
          </w:p>
        </w:tc>
      </w:tr>
      <w:tr>
        <w:tc>
          <w:tcPr>
            <w:tcW w:type="dxa" w:w="2880"/>
          </w:tcPr>
          <w:p>
            <w:r>
              <w:t>P3</w:t>
            </w:r>
          </w:p>
        </w:tc>
        <w:tc>
          <w:tcPr>
            <w:tcW w:type="dxa" w:w="2880"/>
          </w:tcPr>
          <w:p>
            <w:r>
              <w:t>NetBox, API, historique et corrélation des incidents</w:t>
            </w:r>
          </w:p>
        </w:tc>
        <w:tc>
          <w:tcPr>
            <w:tcW w:type="dxa" w:w="2880"/>
          </w:tcPr>
          <w:p>
            <w:r>
              <w:t>2 semaines</w:t>
            </w:r>
          </w:p>
        </w:tc>
      </w:tr>
      <w:tr>
        <w:tc>
          <w:tcPr>
            <w:tcW w:type="dxa" w:w="2880"/>
          </w:tcPr>
          <w:p>
            <w:r>
              <w:t>P4</w:t>
            </w:r>
          </w:p>
        </w:tc>
        <w:tc>
          <w:tcPr>
            <w:tcW w:type="dxa" w:w="2880"/>
          </w:tcPr>
          <w:p>
            <w:r>
              <w:t>Diagnostic avancé, NetworkX, démonstration de remédiation contrôlée</w:t>
            </w:r>
          </w:p>
        </w:tc>
        <w:tc>
          <w:tcPr>
            <w:tcW w:type="dxa" w:w="2880"/>
          </w:tcPr>
          <w:p>
            <w:r>
              <w:t>1–2 semaines</w:t>
            </w:r>
          </w:p>
        </w:tc>
      </w:tr>
      <w:tr>
        <w:tc>
          <w:tcPr>
            <w:tcW w:type="dxa" w:w="2880"/>
          </w:tcPr>
          <w:p>
            <w:r>
              <w:t>P5</w:t>
            </w:r>
          </w:p>
        </w:tc>
        <w:tc>
          <w:tcPr>
            <w:tcW w:type="dxa" w:w="2880"/>
          </w:tcPr>
          <w:p>
            <w:r>
              <w:t>Tests, CI/CD, documentation, présentation</w:t>
            </w:r>
          </w:p>
        </w:tc>
        <w:tc>
          <w:tcPr>
            <w:tcW w:type="dxa" w:w="2880"/>
          </w:tcPr>
          <w:p>
            <w:r>
              <w:t>1 semaine</w:t>
            </w:r>
          </w:p>
        </w:tc>
      </w:tr>
    </w:tbl>
    <w:p>
      <w:r>
        <w:t>Estimation indicative : MVP 3–4 semaines ; version portfolio PFE 6–8 semaines ; AIOps avancé 10–14 semaines, à raison de 15–20 h/semaine. La durée dépend fortement des intégrations et du matériel disponible.</w:t>
      </w:r>
    </w:p>
    <w:p>
      <w:pPr>
        <w:pStyle w:val="Heading1"/>
      </w:pPr>
      <w:r>
        <w:t>9. Scénarios de recette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Test</w:t>
            </w:r>
          </w:p>
        </w:tc>
        <w:tc>
          <w:tcPr>
            <w:tcW w:type="dxa" w:w="2880"/>
          </w:tcPr>
          <w:p>
            <w:r>
              <w:t>Procédure</w:t>
            </w:r>
          </w:p>
        </w:tc>
        <w:tc>
          <w:tcPr>
            <w:tcW w:type="dxa" w:w="2880"/>
          </w:tcPr>
          <w:p>
            <w:r>
              <w:t>Résultat attendu</w:t>
            </w:r>
          </w:p>
        </w:tc>
      </w:tr>
      <w:tr>
        <w:tc>
          <w:tcPr>
            <w:tcW w:type="dxa" w:w="2880"/>
          </w:tcPr>
          <w:p>
            <w:r>
              <w:t>T01</w:t>
            </w:r>
          </w:p>
        </w:tc>
        <w:tc>
          <w:tcPr>
            <w:tcW w:type="dxa" w:w="2880"/>
          </w:tcPr>
          <w:p>
            <w:r>
              <w:t>Réseau sain</w:t>
            </w:r>
          </w:p>
        </w:tc>
        <w:tc>
          <w:tcPr>
            <w:tcW w:type="dxa" w:w="2880"/>
          </w:tcPr>
          <w:p>
            <w:r>
              <w:t>Toutes les adjacences attendues FULL, aucune alerte active.</w:t>
            </w:r>
          </w:p>
        </w:tc>
      </w:tr>
      <w:tr>
        <w:tc>
          <w:tcPr>
            <w:tcW w:type="dxa" w:w="2880"/>
          </w:tcPr>
          <w:p>
            <w:r>
              <w:t>T02</w:t>
            </w:r>
          </w:p>
        </w:tc>
        <w:tc>
          <w:tcPr>
            <w:tcW w:type="dxa" w:w="2880"/>
          </w:tcPr>
          <w:p>
            <w:r>
              <w:t>Suspendre R2–R3</w:t>
            </w:r>
          </w:p>
        </w:tc>
        <w:tc>
          <w:tcPr>
            <w:tcW w:type="dxa" w:w="2880"/>
          </w:tcPr>
          <w:p>
            <w:r>
              <w:t>Perte OSPF signalée, interface éventuellement UP, impact identifié.</w:t>
            </w:r>
          </w:p>
        </w:tc>
      </w:tr>
      <w:tr>
        <w:tc>
          <w:tcPr>
            <w:tcW w:type="dxa" w:w="2880"/>
          </w:tcPr>
          <w:p>
            <w:r>
              <w:t>T03</w:t>
            </w:r>
          </w:p>
        </w:tc>
        <w:tc>
          <w:tcPr>
            <w:tcW w:type="dxa" w:w="2880"/>
          </w:tcPr>
          <w:p>
            <w:r>
              <w:t>Rétablir R2–R3</w:t>
            </w:r>
          </w:p>
        </w:tc>
        <w:tc>
          <w:tcPr>
            <w:tcW w:type="dxa" w:w="2880"/>
          </w:tcPr>
          <w:p>
            <w:r>
              <w:t>Alerte résolue et historique conservé.</w:t>
            </w:r>
          </w:p>
        </w:tc>
      </w:tr>
      <w:tr>
        <w:tc>
          <w:tcPr>
            <w:tcW w:type="dxa" w:w="2880"/>
          </w:tcPr>
          <w:p>
            <w:r>
              <w:t>T04</w:t>
            </w:r>
          </w:p>
        </w:tc>
        <w:tc>
          <w:tcPr>
            <w:tcW w:type="dxa" w:w="2880"/>
          </w:tcPr>
          <w:p>
            <w:r>
              <w:t>Modifier une configuration en mode contrôlé</w:t>
            </w:r>
          </w:p>
        </w:tc>
        <w:tc>
          <w:tcPr>
            <w:tcW w:type="dxa" w:w="2880"/>
          </w:tcPr>
          <w:p>
            <w:r>
              <w:t>Diff, validation, sauvegarde et traçabilité.</w:t>
            </w:r>
          </w:p>
        </w:tc>
      </w:tr>
      <w:tr>
        <w:tc>
          <w:tcPr>
            <w:tcW w:type="dxa" w:w="2880"/>
          </w:tcPr>
          <w:p>
            <w:r>
              <w:t>T05</w:t>
            </w:r>
          </w:p>
        </w:tc>
        <w:tc>
          <w:tcPr>
            <w:tcW w:type="dxa" w:w="2880"/>
          </w:tcPr>
          <w:p>
            <w:r>
              <w:t>Exporter/consulter un incident</w:t>
            </w:r>
          </w:p>
        </w:tc>
        <w:tc>
          <w:tcPr>
            <w:tcW w:type="dxa" w:w="2880"/>
          </w:tcPr>
          <w:p>
            <w:r>
              <w:t>API et dashboard concordants avec l’historique.</w:t>
            </w:r>
          </w:p>
        </w:tc>
      </w:tr>
      <w:tr>
        <w:tc>
          <w:tcPr>
            <w:tcW w:type="dxa" w:w="2880"/>
          </w:tcPr>
          <w:p>
            <w:r>
              <w:t>T06</w:t>
            </w:r>
          </w:p>
        </w:tc>
        <w:tc>
          <w:tcPr>
            <w:tcW w:type="dxa" w:w="2880"/>
          </w:tcPr>
          <w:p>
            <w:r>
              <w:t>Collecte impossible</w:t>
            </w:r>
          </w:p>
        </w:tc>
        <w:tc>
          <w:tcPr>
            <w:tcW w:type="dxa" w:w="2880"/>
          </w:tcPr>
          <w:p>
            <w:r>
              <w:t>État UNKNOWN/UNAVAILABLE, sans faux diagnostic certain.</w:t>
            </w:r>
          </w:p>
        </w:tc>
      </w:tr>
    </w:tbl>
    <w:p>
      <w:pPr>
        <w:pStyle w:val="Heading1"/>
      </w:pPr>
      <w:r>
        <w:t>10. Risques et mesures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Risque</w:t>
            </w:r>
          </w:p>
        </w:tc>
        <w:tc>
          <w:tcPr>
            <w:tcW w:type="dxa" w:w="4320"/>
          </w:tcPr>
          <w:p>
            <w:r>
              <w:t>Mesure</w:t>
            </w:r>
          </w:p>
        </w:tc>
      </w:tr>
      <w:tr>
        <w:tc>
          <w:tcPr>
            <w:tcW w:type="dxa" w:w="4320"/>
          </w:tcPr>
          <w:p>
            <w:r>
              <w:t>Perte de configuration FRR</w:t>
            </w:r>
          </w:p>
        </w:tc>
        <w:tc>
          <w:tcPr>
            <w:tcW w:type="dxa" w:w="4320"/>
          </w:tcPr>
          <w:p>
            <w:r>
              <w:t>Fiabiliser la persistance avant redémarrage ; sauvegardes hors conteneur.</w:t>
            </w:r>
          </w:p>
        </w:tc>
      </w:tr>
      <w:tr>
        <w:tc>
          <w:tcPr>
            <w:tcW w:type="dxa" w:w="4320"/>
          </w:tcPr>
          <w:p>
            <w:r>
              <w:t>Ressources VM limitées</w:t>
            </w:r>
          </w:p>
        </w:tc>
        <w:tc>
          <w:tcPr>
            <w:tcW w:type="dxa" w:w="4320"/>
          </w:tcPr>
          <w:p>
            <w:r>
              <w:t>Séparer les services, limiter la rétention, mesurer CPU/RAM.</w:t>
            </w:r>
          </w:p>
        </w:tc>
      </w:tr>
      <w:tr>
        <w:tc>
          <w:tcPr>
            <w:tcW w:type="dxa" w:w="4320"/>
          </w:tcPr>
          <w:p>
            <w:r>
              <w:t>Accès SSH/exports incompatibles</w:t>
            </w:r>
          </w:p>
        </w:tc>
        <w:tc>
          <w:tcPr>
            <w:tcW w:type="dxa" w:w="4320"/>
          </w:tcPr>
          <w:p>
            <w:r>
              <w:t>Valider la connectivité et choisir des adaptateurs compatibles FRR.</w:t>
            </w:r>
          </w:p>
        </w:tc>
      </w:tr>
      <w:tr>
        <w:tc>
          <w:tcPr>
            <w:tcW w:type="dxa" w:w="4320"/>
          </w:tcPr>
          <w:p>
            <w:r>
              <w:t>Complexité excessive</w:t>
            </w:r>
          </w:p>
        </w:tc>
        <w:tc>
          <w:tcPr>
            <w:tcW w:type="dxa" w:w="4320"/>
          </w:tcPr>
          <w:p>
            <w:r>
              <w:t>Prioriser le chemin critique et rendre les extensions optionnelles.</w:t>
            </w:r>
          </w:p>
        </w:tc>
      </w:tr>
      <w:tr>
        <w:tc>
          <w:tcPr>
            <w:tcW w:type="dxa" w:w="4320"/>
          </w:tcPr>
          <w:p>
            <w:r>
              <w:t>Faux positifs / IA non fiable</w:t>
            </w:r>
          </w:p>
        </w:tc>
        <w:tc>
          <w:tcPr>
            <w:tcW w:type="dxa" w:w="4320"/>
          </w:tcPr>
          <w:p>
            <w:r>
              <w:t>Évaluer sur incidents labellisés ; validation humaine obligatoire.</w:t>
            </w:r>
          </w:p>
        </w:tc>
      </w:tr>
    </w:tbl>
    <w:p>
      <w:pPr>
        <w:pStyle w:val="Heading1"/>
      </w:pPr>
      <w:r>
        <w:t>11. Critères de clôture</w:t>
      </w:r>
    </w:p>
    <w:p>
      <w:pPr>
        <w:pStyle w:val="ListBullet"/>
      </w:pPr>
      <w:r>
        <w:t>Démonstration complète : sain → panne → alerte → diagnostic → rétablissement → historique.</w:t>
      </w:r>
    </w:p>
    <w:p>
      <w:pPr>
        <w:pStyle w:val="ListBullet"/>
      </w:pPr>
      <w:r>
        <w:t>Au moins un workflow Ansible de configuration/contrôle réellement opérationnel.</w:t>
      </w:r>
    </w:p>
    <w:p>
      <w:pPr>
        <w:pStyle w:val="ListBullet"/>
      </w:pPr>
      <w:r>
        <w:t>Dashboards et alertes alimentés par des données mesurées, non simulées dans l’interface.</w:t>
      </w:r>
    </w:p>
    <w:p>
      <w:pPr>
        <w:pStyle w:val="ListBullet"/>
      </w:pPr>
      <w:r>
        <w:t>Documentation d’installation, architecture, limites et scénarios de test disponibles.</w:t>
      </w:r>
    </w:p>
    <w:p>
      <w:pPr>
        <w:pStyle w:val="ListBullet"/>
      </w:pPr>
      <w:r>
        <w:t>Dépôt Git nettoyé ; aucun secret exposé ; tests reproductibles.</w:t>
      </w:r>
    </w:p>
    <w:sectPr w:rsidR="00FC693F" w:rsidRPr="0006063C" w:rsidSect="00034616">
      <w:headerReference w:type="default" r:id="rId9"/>
      <w:footerReference w:type="default" r:id="rId10"/>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Version 1.0 — 10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NETOPS AI  |  DOCUMENT DE CADRAGE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42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425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42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