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document.xml" ContentType="application/vnd.openxmlformats-officedocument.wordprocessingml.document.main+xml"/>
  <Override PartName="/word/header1.xml" ContentType="application/vnd.openxmlformats-officedocument.wordprocessingml.header+xml"/>
  <Override PartName="/word/numbering.xml" ContentType="application/vnd.openxmlformats-officedocument.wordprocessingml.numbering+xml"/>
  <Override PartName="/word/footer2.xml" ContentType="application/vnd.openxmlformats-officedocument.wordprocessingml.footer+xml"/>
  <Override PartName="/word/settings.xml" ContentType="application/vnd.openxmlformats-officedocument.wordprocessingml.settings+xml"/>
  <Override PartName="/docProps/custom.xml" ContentType="application/vnd.openxmlformats-officedocument.custom-properties+xml"/>
  <Override PartName="/word/styles.xml" ContentType="application/vnd.openxmlformats-officedocument.wordprocessingml.styl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body>
    <w:p w14:paraId="D6E37738">
      <w:pPr>
        <w:pStyle w:val="style0"/>
        <w:spacing w:before="1200" w:lineRule="auto" w:line="420"/>
        <w:jc w:val="center"/>
        <w:rPr>
          <w:rFonts w:ascii="RobotoStatic" w:cs="Zawgyi-One" w:hAnsi="Source Sans Pro"/>
        </w:rPr>
      </w:pPr>
      <w:r>
        <w:rPr>
          <w:rFonts w:ascii="RobotoStatic" w:cs="Zawgyi-One" w:hAnsi="Source Sans Pro"/>
          <w:b/>
          <w:bCs/>
          <w:spacing w:val="40"/>
          <w:sz w:val="22"/>
          <w:szCs w:val="22"/>
        </w:rPr>
        <w:t>TECHGLOBAL</w:t>
      </w:r>
    </w:p>
    <w:p w14:paraId="6CFA7EA5">
      <w:pPr>
        <w:pStyle w:val="style0"/>
        <w:spacing w:before="200" w:after="100" w:lineRule="auto" w:line="420"/>
        <w:jc w:val="center"/>
        <w:rPr>
          <w:rFonts w:ascii="RobotoStatic" w:cs="Zawgyi-One" w:hAnsi="Source Sans Pro"/>
        </w:rPr>
      </w:pPr>
      <w:r>
        <w:rPr>
          <w:rFonts w:ascii="RobotoStatic" w:cs="Zawgyi-One" w:hAnsi="Source Sans Pro"/>
          <w:b/>
          <w:bCs/>
          <w:sz w:val="44"/>
          <w:szCs w:val="44"/>
        </w:rPr>
        <w:t>Security Governance Transformation</w:t>
      </w:r>
    </w:p>
    <w:p w14:paraId="251A2FFD">
      <w:pPr>
        <w:pStyle w:val="style0"/>
        <w:spacing w:after="400" w:lineRule="auto" w:line="420"/>
        <w:jc w:val="center"/>
        <w:rPr>
          <w:rFonts w:ascii="RobotoStatic" w:cs="Zawgyi-One" w:hAnsi="Source Sans Pro"/>
        </w:rPr>
      </w:pPr>
      <w:r>
        <w:rPr>
          <w:rFonts w:ascii="RobotoStatic" w:cs="Zawgyi-One" w:hAnsi="Source Sans Pro"/>
          <w:i/>
          <w:iCs/>
          <w:sz w:val="26"/>
          <w:szCs w:val="26"/>
        </w:rPr>
        <w:t>A Consultant Report on Roles, Responsibilities and Accountability in Security Governance</w:t>
      </w:r>
    </w:p>
    <w:p w14:paraId="7DCF34CC">
      <w:pPr>
        <w:pStyle w:val="style0"/>
        <w:spacing w:before="800" w:after="60" w:lineRule="auto" w:line="420"/>
        <w:jc w:val="center"/>
        <w:rPr>
          <w:rFonts w:ascii="RobotoStatic" w:cs="Zawgyi-One" w:hAnsi="Source Sans Pro"/>
        </w:rPr>
      </w:pPr>
      <w:r>
        <w:rPr>
          <w:rFonts w:ascii="RobotoStatic" w:cs="Zawgyi-One" w:hAnsi="Source Sans Pro"/>
          <w:sz w:val="21"/>
          <w:szCs w:val="21"/>
        </w:rPr>
        <w:t>Prepared for: TechGlobal Board of Directors and Executive Leadership</w:t>
      </w:r>
    </w:p>
    <w:p w14:paraId="05F52560">
      <w:pPr>
        <w:pStyle w:val="style0"/>
        <w:spacing w:after="60" w:lineRule="auto" w:line="420"/>
        <w:jc w:val="center"/>
        <w:rPr>
          <w:rFonts w:ascii="RobotoStatic" w:cs="Zawgyi-One" w:hAnsi="Source Sans Pro"/>
        </w:rPr>
      </w:pPr>
      <w:r>
        <w:rPr>
          <w:rFonts w:ascii="RobotoStatic" w:cs="Zawgyi-One" w:hAnsi="Source Sans Pro"/>
          <w:sz w:val="21"/>
          <w:szCs w:val="21"/>
        </w:rPr>
        <w:t>Prepared by: Lead Security Governance Consultant</w:t>
      </w:r>
    </w:p>
    <w:p w14:paraId="C853B469">
      <w:pPr>
        <w:pStyle w:val="style0"/>
        <w:spacing w:after="60" w:lineRule="auto" w:line="420"/>
        <w:jc w:val="center"/>
        <w:rPr>
          <w:rFonts w:ascii="RobotoStatic" w:cs="Zawgyi-One" w:hAnsi="Source Sans Pro"/>
        </w:rPr>
      </w:pPr>
      <w:r>
        <w:rPr>
          <w:rFonts w:ascii="RobotoStatic" w:cs="Zawgyi-One" w:hAnsi="Source Sans Pro"/>
          <w:sz w:val="21"/>
          <w:szCs w:val="21"/>
        </w:rPr>
        <w:t xml:space="preserve">Course: GRC102 </w:t>
      </w:r>
      <w:r>
        <w:rPr>
          <w:rFonts w:ascii="RobotoStatic" w:cs="Calibri" w:hAnsi="Calibri"/>
          <w:sz w:val="21"/>
          <w:szCs w:val="21"/>
        </w:rPr>
        <w:t>–</w:t>
      </w:r>
      <w:r>
        <w:rPr>
          <w:rFonts w:ascii="RobotoStatic" w:cs="Zawgyi-One" w:hAnsi="Source Sans Pro"/>
          <w:sz w:val="21"/>
          <w:szCs w:val="21"/>
        </w:rPr>
        <w:t xml:space="preserve"> Information Security Governance | Week 3 Practical Laboratory</w:t>
      </w:r>
    </w:p>
    <w:p w14:paraId="1D565C50">
      <w:pPr>
        <w:pStyle w:val="style0"/>
        <w:spacing w:after="60" w:lineRule="auto" w:line="420"/>
        <w:jc w:val="center"/>
        <w:rPr>
          <w:rFonts w:ascii="RobotoStatic" w:cs="Zawgyi-One" w:hAnsi="Source Sans Pro"/>
        </w:rPr>
      </w:pPr>
      <w:r>
        <w:rPr>
          <w:rFonts w:ascii="RobotoStatic" w:cs="Zawgyi-One" w:hAnsi="Source Sans Pro"/>
          <w:sz w:val="21"/>
          <w:szCs w:val="21"/>
        </w:rPr>
        <w:t>International Cybersecurity and Digital Forensics Academy (ICDFA)</w:t>
      </w:r>
    </w:p>
    <w:p w14:paraId="CE888C08">
      <w:pPr>
        <w:pStyle w:val="style0"/>
        <w:spacing w:after="800" w:lineRule="auto" w:line="420"/>
        <w:jc w:val="center"/>
        <w:rPr>
          <w:rFonts w:ascii="RobotoStatic" w:cs="Zawgyi-One" w:hAnsi="Source Sans Pro"/>
          <w:sz w:val="21"/>
          <w:szCs w:val="21"/>
        </w:rPr>
      </w:pPr>
      <w:r>
        <w:rPr>
          <w:rFonts w:ascii="RobotoStatic" w:cs="Zawgyi-One" w:hAnsi="Source Sans Pro"/>
          <w:sz w:val="21"/>
          <w:szCs w:val="21"/>
        </w:rPr>
        <w:t>Date: 25 September 2026</w:t>
      </w:r>
    </w:p>
    <w:p w14:paraId="72782A08">
      <w:pPr>
        <w:pStyle w:val="style0"/>
        <w:spacing w:after="800" w:lineRule="auto" w:line="420"/>
        <w:jc w:val="center"/>
        <w:rPr>
          <w:rFonts w:ascii="RobotoStatic" w:cs="Zawgyi-One" w:hAnsi="Source Sans Pro"/>
          <w:b/>
          <w:bCs/>
          <w:sz w:val="22"/>
          <w:szCs w:val="22"/>
          <w:lang w:val="en-US"/>
        </w:rPr>
      </w:pPr>
    </w:p>
    <w:p w14:paraId="C8458D08">
      <w:pPr>
        <w:pStyle w:val="style0"/>
        <w:spacing w:after="800" w:lineRule="auto" w:line="420"/>
        <w:jc w:val="center"/>
        <w:rPr>
          <w:rFonts w:ascii="RobotoStatic" w:cs="Zawgyi-One" w:hAnsi="Source Sans Pro"/>
          <w:b/>
          <w:bCs/>
          <w:sz w:val="22"/>
          <w:szCs w:val="22"/>
          <w:lang w:val="en-US"/>
        </w:rPr>
      </w:pPr>
    </w:p>
    <w:p w14:paraId="A009ECF6">
      <w:pPr>
        <w:pStyle w:val="style0"/>
        <w:spacing w:after="800" w:lineRule="auto" w:line="420"/>
        <w:jc w:val="center"/>
        <w:rPr>
          <w:rFonts w:ascii="RobotoStatic" w:cs="Zawgyi-One" w:hAnsi="Source Sans Pro"/>
          <w:b/>
          <w:bCs/>
          <w:sz w:val="22"/>
          <w:szCs w:val="22"/>
          <w:lang w:val="en-US"/>
        </w:rPr>
      </w:pPr>
    </w:p>
    <w:p w14:paraId="834AC018">
      <w:pPr>
        <w:pStyle w:val="style0"/>
        <w:spacing w:after="800" w:lineRule="auto" w:line="420"/>
        <w:jc w:val="center"/>
        <w:rPr>
          <w:rFonts w:ascii="RobotoStatic" w:cs="Zawgyi-One" w:hAnsi="Source Sans Pro"/>
          <w:b/>
          <w:bCs/>
          <w:sz w:val="22"/>
          <w:szCs w:val="22"/>
          <w:lang w:val="en-US"/>
        </w:rPr>
      </w:pPr>
    </w:p>
    <w:p w14:paraId="13983769">
      <w:pPr>
        <w:pStyle w:val="style0"/>
        <w:spacing w:after="800" w:lineRule="auto" w:line="420"/>
        <w:jc w:val="left"/>
        <w:rPr>
          <w:rFonts w:ascii="RobotoStatic" w:cs="Zawgyi-One" w:hAnsi="Source Sans Pro"/>
        </w:rPr>
      </w:pPr>
      <w:r>
        <w:rPr>
          <w:rFonts w:ascii="RobotoStatic" w:cs="Zawgyi-One" w:hAnsi="Source Sans Pro"/>
          <w:b/>
          <w:bCs/>
          <w:sz w:val="22"/>
          <w:szCs w:val="22"/>
          <w:lang w:val="en-US"/>
        </w:rPr>
        <w:t xml:space="preserve">EXECUTIVE SUMMARY  :  </w:t>
      </w:r>
      <w:r>
        <w:rPr>
          <w:rFonts w:ascii="RobotoStatic" w:cs="Zawgyi-One" w:hAnsi="Source Sans Pro"/>
          <w:sz w:val="21"/>
          <w:szCs w:val="21"/>
        </w:rPr>
        <w:t>TechGlobal has grown to approximately 2,500 employees across five global offices while its security governance model has remained informal and IT-centric. Authority for security strategy, risk acceptance and operational decision-making is concentrated in the IT Director, no cross-functional governance committees exist; business units act inconsistently, and the Board and CEO have limited visibility into cyber risk. This report sets out a redesigned governance model that connects operational security decisions to executive and Board oversight, in line with recognized frameworks including ISO/IEC 27014:2020, COBIT and the Three Lines Model.</w:t>
      </w:r>
    </w:p>
    <w:p w14:paraId="F70D0D59">
      <w:pPr>
        <w:pStyle w:val="style179"/>
        <w:numPr>
          <w:ilvl w:val="0"/>
          <w:numId w:val="1"/>
        </w:numPr>
        <w:spacing w:after="80" w:lineRule="auto" w:line="420"/>
        <w:rPr>
          <w:rFonts w:ascii="RobotoStatic" w:cs="Zawgyi-One" w:hAnsi="Source Sans Pro"/>
        </w:rPr>
      </w:pPr>
      <w:r>
        <w:rPr>
          <w:rFonts w:ascii="RobotoStatic" w:cs="Zawgyi-One" w:hAnsi="Source Sans Pro"/>
          <w:sz w:val="21"/>
          <w:szCs w:val="21"/>
        </w:rPr>
        <w:t>Task 1: Governance architecture, stakeholder map and organization chart, with a gap assessment of the current model.</w:t>
      </w:r>
    </w:p>
    <w:p w14:paraId="DAC9D68C">
      <w:pPr>
        <w:pStyle w:val="style179"/>
        <w:numPr>
          <w:ilvl w:val="0"/>
          <w:numId w:val="1"/>
        </w:numPr>
        <w:spacing w:after="80" w:lineRule="auto" w:line="420"/>
        <w:rPr>
          <w:rFonts w:ascii="RobotoStatic" w:cs="Zawgyi-One" w:hAnsi="Source Sans Pro"/>
        </w:rPr>
      </w:pPr>
      <w:r>
        <w:rPr>
          <w:rFonts w:ascii="RobotoStatic" w:cs="Zawgyi-One" w:hAnsi="Source Sans Pro"/>
          <w:sz w:val="21"/>
          <w:szCs w:val="21"/>
        </w:rPr>
        <w:t>Task 2:  A cross-functional Governance Responsibility Matrix, role profiles for the eight core governance roles, and a conflict-resolution note.</w:t>
      </w:r>
    </w:p>
    <w:p w14:paraId="E0102929">
      <w:pPr>
        <w:pStyle w:val="style179"/>
        <w:numPr>
          <w:ilvl w:val="0"/>
          <w:numId w:val="1"/>
        </w:numPr>
        <w:spacing w:after="80" w:lineRule="auto" w:line="420"/>
        <w:rPr>
          <w:rFonts w:ascii="RobotoStatic" w:cs="Zawgyi-One" w:hAnsi="Source Sans Pro"/>
        </w:rPr>
      </w:pPr>
      <w:r>
        <w:rPr>
          <w:rFonts w:ascii="RobotoStatic" w:cs="Zawgyi-One" w:hAnsi="Source Sans Pro"/>
          <w:sz w:val="21"/>
          <w:szCs w:val="21"/>
        </w:rPr>
        <w:t>Task 3:  A three-tier committee ecosystem (Executive Security Council, Security Governance/Steering Committee, Working Groups), with Terms of Reference, a sample agenda, decision log and a 12-month governance calendar.</w:t>
      </w:r>
    </w:p>
    <w:p w14:paraId="5353F7EB">
      <w:pPr>
        <w:pStyle w:val="style179"/>
        <w:numPr>
          <w:ilvl w:val="0"/>
          <w:numId w:val="1"/>
        </w:numPr>
        <w:spacing w:after="80" w:lineRule="auto" w:line="420"/>
        <w:rPr>
          <w:rFonts w:ascii="RobotoStatic" w:cs="Zawgyi-One" w:hAnsi="Source Sans Pro"/>
        </w:rPr>
      </w:pPr>
      <w:r>
        <w:rPr>
          <w:rFonts w:ascii="RobotoStatic" w:cs="Zawgyi-One" w:hAnsi="Source Sans Pro"/>
          <w:sz w:val="21"/>
          <w:szCs w:val="21"/>
        </w:rPr>
        <w:t>Task 4:  A RACI matrix covering fifteen governance and incident-related activities, with an implementation guide and analysis of ambiguous assignments.</w:t>
      </w:r>
    </w:p>
    <w:p w14:paraId="10552D9D">
      <w:pPr>
        <w:pStyle w:val="style179"/>
        <w:numPr>
          <w:ilvl w:val="0"/>
          <w:numId w:val="1"/>
        </w:numPr>
        <w:spacing w:after="80" w:lineRule="auto" w:line="420"/>
        <w:rPr>
          <w:rFonts w:ascii="RobotoStatic" w:cs="Zawgyi-One" w:hAnsi="Source Sans Pro"/>
        </w:rPr>
      </w:pPr>
      <w:r>
        <w:rPr>
          <w:rFonts w:ascii="RobotoStatic" w:cs="Zawgyi-One" w:hAnsi="Source Sans Pro"/>
          <w:sz w:val="21"/>
          <w:szCs w:val="21"/>
        </w:rPr>
        <w:t>Task 5:  A major cyber-risk escalation workflow with three escalation levels, and a segregation-of-duties weakness register with five findings and recommended controls.</w:t>
      </w:r>
    </w:p>
    <w:p w14:paraId="AE4C9652">
      <w:pPr>
        <w:pStyle w:val="style0"/>
        <w:spacing w:after="160" w:lineRule="auto" w:line="420"/>
        <w:rPr>
          <w:rFonts w:ascii="RobotoStatic" w:cs="Zawgyi-One" w:hAnsi="Source Sans Pro"/>
        </w:rPr>
      </w:pPr>
      <w:r>
        <w:rPr>
          <w:rFonts w:ascii="RobotoStatic" w:cs="Zawgyi-One" w:hAnsi="Source Sans Pro"/>
          <w:sz w:val="21"/>
          <w:szCs w:val="21"/>
        </w:rPr>
        <w:t>Together these artefacts replace "security by informal decision" with a governance model in which decision rights are explicit, conflicts of interest are separated, material risk is escalated on defined criteria, and the Board receives structured, auditable visibility into TechGlobal's cyber-risk posture.</w:t>
      </w:r>
    </w:p>
    <w:p w14:paraId="D561AA29">
      <w:pPr>
        <w:pStyle w:val="style0"/>
        <w:spacing w:lineRule="auto" w:line="420"/>
        <w:rPr>
          <w:rFonts w:ascii="RobotoStatic" w:cs="Zawgyi-One" w:hAnsi="Source Sans Pro"/>
          <w:color w:val="auto"/>
        </w:rPr>
      </w:pPr>
      <w:r>
        <w:rPr>
          <w:rFonts w:ascii="RobotoStatic" w:cs="Zawgyi-One" w:hAnsi="Source Sans Pro"/>
        </w:rPr>
        <w:br w:type="page"/>
      </w:r>
    </w:p>
    <w:p w14:paraId="C7923369">
      <w:pPr>
        <w:pStyle w:val="style0"/>
        <w:spacing w:after="160" w:lineRule="auto" w:line="420"/>
        <w:rPr>
          <w:rFonts w:ascii="RobotoStatic" w:cs="Zawgyi-One" w:hAnsi="Source Sans Pro"/>
          <w:b/>
          <w:bCs/>
          <w:sz w:val="24"/>
          <w:szCs w:val="24"/>
        </w:rPr>
      </w:pPr>
      <w:r>
        <w:rPr>
          <w:rFonts w:ascii="RobotoStatic" w:cs="Zawgyi-One" w:hAnsi="Source Sans Pro"/>
          <w:b/>
          <w:bCs/>
          <w:sz w:val="24"/>
          <w:szCs w:val="24"/>
          <w:lang w:val="en-US"/>
        </w:rPr>
        <w:t>TASK 1: GOVERNANCE ARCHITECTURE AND STAKEHOLDER MAP</w:t>
      </w:r>
    </w:p>
    <w:p w14:paraId="E033D632">
      <w:pPr>
        <w:pStyle w:val="style2"/>
        <w:spacing w:before="280" w:after="140" w:lineRule="auto" w:line="420"/>
        <w:rPr>
          <w:rFonts w:ascii="RobotoStatic" w:cs="Zawgyi-One" w:hAnsi="Source Sans Pro"/>
          <w:color w:val="auto"/>
        </w:rPr>
      </w:pPr>
      <w:r>
        <w:rPr>
          <w:rFonts w:ascii="RobotoStatic" w:cs="Zawgyi-One" w:hAnsi="Source Sans Pro"/>
          <w:b/>
          <w:bCs/>
          <w:color w:val="auto"/>
          <w:sz w:val="24"/>
          <w:szCs w:val="24"/>
        </w:rPr>
        <w:t>1.1 Governance Gap Assessment</w:t>
      </w:r>
    </w:p>
    <w:p w14:paraId="DAB42B40">
      <w:pPr>
        <w:pStyle w:val="style0"/>
        <w:spacing w:after="160" w:lineRule="auto" w:line="420"/>
        <w:rPr>
          <w:rFonts w:ascii="RobotoStatic" w:cs="Zawgyi-One" w:hAnsi="Source Sans Pro"/>
        </w:rPr>
      </w:pPr>
      <w:r>
        <w:rPr>
          <w:rFonts w:ascii="RobotoStatic" w:cs="Zawgyi-One" w:hAnsi="Source Sans Pro"/>
          <w:sz w:val="21"/>
          <w:szCs w:val="21"/>
        </w:rPr>
        <w:t>TechGlobal's current model can be described as "security by informal decision." The assessment below identifies five weaknesses in that model and the business or risk consequence of each.</w:t>
      </w:r>
    </w:p>
    <w:p w14:paraId="053E9D40">
      <w:pPr>
        <w:pStyle w:val="style0"/>
        <w:spacing w:before="60" w:after="40" w:lineRule="auto" w:line="420"/>
        <w:rPr>
          <w:rFonts w:ascii="RobotoStatic" w:cs="Zawgyi-One" w:hAnsi="Source Sans Pro"/>
        </w:rPr>
      </w:pPr>
      <w:r>
        <w:rPr>
          <w:rFonts w:ascii="RobotoStatic" w:cs="Zawgyi-One" w:hAnsi="Source Sans Pro"/>
          <w:b/>
          <w:bCs/>
        </w:rPr>
        <w:t>1. Concentration of authority in the IT Director</w:t>
      </w:r>
    </w:p>
    <w:p w14:paraId="36375FF0">
      <w:pPr>
        <w:pStyle w:val="style179"/>
        <w:numPr>
          <w:ilvl w:val="0"/>
          <w:numId w:val="1"/>
        </w:numPr>
        <w:spacing w:after="80" w:lineRule="auto" w:line="420"/>
        <w:rPr>
          <w:rFonts w:ascii="RobotoStatic" w:cs="Zawgyi-One" w:hAnsi="Source Sans Pro"/>
        </w:rPr>
      </w:pPr>
      <w:r>
        <w:rPr>
          <w:rFonts w:ascii="RobotoStatic" w:cs="Zawgyi-One" w:hAnsi="Source Sans Pro"/>
          <w:sz w:val="21"/>
          <w:szCs w:val="21"/>
        </w:rPr>
        <w:t>The IT Director simultaneously owns security risk, implements controls, and approves risk decisions. There is no independent challenge to technical decisions.</w:t>
      </w:r>
    </w:p>
    <w:p w14:paraId="69925B59">
      <w:pPr>
        <w:pStyle w:val="style179"/>
        <w:numPr>
          <w:ilvl w:val="0"/>
          <w:numId w:val="1"/>
        </w:numPr>
        <w:spacing w:after="80" w:lineRule="auto" w:line="420"/>
        <w:rPr>
          <w:rFonts w:ascii="RobotoStatic" w:cs="Zawgyi-One" w:hAnsi="Source Sans Pro"/>
        </w:rPr>
      </w:pPr>
      <w:r>
        <w:rPr>
          <w:rFonts w:ascii="RobotoStatic" w:cs="Zawgyi-One" w:hAnsi="Source Sans Pro"/>
          <w:sz w:val="21"/>
          <w:szCs w:val="21"/>
        </w:rPr>
        <w:t>Consequence: single point of failure in decision-making, self-approved risk acceptance, and a segregation-of-duties conflict that would concern an external auditor or regulator.</w:t>
      </w:r>
    </w:p>
    <w:p w14:paraId="7AD9E9B6">
      <w:pPr>
        <w:pStyle w:val="style0"/>
        <w:spacing w:before="60" w:after="40" w:lineRule="auto" w:line="420"/>
        <w:rPr>
          <w:rFonts w:ascii="RobotoStatic" w:cs="Zawgyi-One" w:hAnsi="Source Sans Pro"/>
        </w:rPr>
      </w:pPr>
      <w:r>
        <w:rPr>
          <w:rFonts w:ascii="RobotoStatic" w:cs="Zawgyi-One" w:hAnsi="Source Sans Pro"/>
          <w:b/>
          <w:bCs/>
        </w:rPr>
        <w:t>2. Absence of a formal governance committee structure</w:t>
      </w:r>
    </w:p>
    <w:p w14:paraId="9990C2CA">
      <w:pPr>
        <w:pStyle w:val="style179"/>
        <w:numPr>
          <w:ilvl w:val="0"/>
          <w:numId w:val="1"/>
        </w:numPr>
        <w:spacing w:after="80" w:lineRule="auto" w:line="420"/>
        <w:rPr>
          <w:rFonts w:ascii="RobotoStatic" w:cs="Zawgyi-One" w:hAnsi="Source Sans Pro"/>
        </w:rPr>
      </w:pPr>
      <w:r>
        <w:rPr>
          <w:rFonts w:ascii="RobotoStatic" w:cs="Zawgyi-One" w:hAnsi="Source Sans Pro"/>
          <w:sz w:val="21"/>
          <w:szCs w:val="21"/>
        </w:rPr>
        <w:t>There is no recurring forum in which security, risk, legal, finance, HR and business leaders review and jointly resolve investment, policy or risk-treatment decisions.</w:t>
      </w:r>
    </w:p>
    <w:p w14:paraId="4E545768">
      <w:pPr>
        <w:pStyle w:val="style179"/>
        <w:numPr>
          <w:ilvl w:val="0"/>
          <w:numId w:val="1"/>
        </w:numPr>
        <w:spacing w:after="80" w:lineRule="auto" w:line="420"/>
        <w:rPr>
          <w:rFonts w:ascii="RobotoStatic" w:cs="Zawgyi-One" w:hAnsi="Source Sans Pro"/>
        </w:rPr>
      </w:pPr>
      <w:r>
        <w:rPr>
          <w:rFonts w:ascii="RobotoStatic" w:cs="Zawgyi-One" w:hAnsi="Source Sans Pro"/>
          <w:sz w:val="21"/>
          <w:szCs w:val="21"/>
        </w:rPr>
        <w:t>Consequence: decisions are made ad hoc and department-by-department, cross-functional risks (e.g. third-party or data-privacy risk) fall through gaps, and there is no institutional memory of why a decision was made.</w:t>
      </w:r>
    </w:p>
    <w:p w14:paraId="EEF13C8C">
      <w:pPr>
        <w:pStyle w:val="style0"/>
        <w:spacing w:before="60" w:after="40" w:lineRule="auto" w:line="420"/>
        <w:rPr>
          <w:rFonts w:ascii="RobotoStatic" w:cs="Zawgyi-One" w:hAnsi="Source Sans Pro"/>
        </w:rPr>
      </w:pPr>
      <w:r>
        <w:rPr>
          <w:rFonts w:ascii="RobotoStatic" w:cs="Zawgyi-One" w:hAnsi="Source Sans Pro"/>
          <w:b/>
          <w:bCs/>
        </w:rPr>
        <w:t>3. Inconsistent business-unit security practices</w:t>
      </w:r>
    </w:p>
    <w:p w14:paraId="D64FD5D0">
      <w:pPr>
        <w:pStyle w:val="style179"/>
        <w:numPr>
          <w:ilvl w:val="0"/>
          <w:numId w:val="1"/>
        </w:numPr>
        <w:spacing w:after="80" w:lineRule="auto" w:line="420"/>
        <w:rPr>
          <w:rFonts w:ascii="RobotoStatic" w:cs="Zawgyi-One" w:hAnsi="Source Sans Pro"/>
        </w:rPr>
      </w:pPr>
      <w:r>
        <w:rPr>
          <w:rFonts w:ascii="RobotoStatic" w:cs="Zawgyi-One" w:hAnsi="Source Sans Pro"/>
          <w:sz w:val="21"/>
          <w:szCs w:val="21"/>
        </w:rPr>
        <w:t>Five regional offices apply security controls independently, with no shared governance forum or reporting line tying them together.</w:t>
      </w:r>
    </w:p>
    <w:p w14:paraId="B359014B">
      <w:pPr>
        <w:pStyle w:val="style179"/>
        <w:numPr>
          <w:ilvl w:val="0"/>
          <w:numId w:val="1"/>
        </w:numPr>
        <w:spacing w:after="80" w:lineRule="auto" w:line="420"/>
        <w:rPr>
          <w:rFonts w:ascii="RobotoStatic" w:cs="Zawgyi-One" w:hAnsi="Source Sans Pro"/>
        </w:rPr>
      </w:pPr>
      <w:r>
        <w:rPr>
          <w:rFonts w:ascii="RobotoStatic" w:cs="Zawgyi-One" w:hAnsi="Source Sans Pro"/>
          <w:sz w:val="21"/>
          <w:szCs w:val="21"/>
        </w:rPr>
        <w:t>Consequence: uneven risk exposure across offices, duplicated or conflicting tooling, higher audit and incident-response cost, and difficulty demonstrating consistent control coverage to regulators or customers.</w:t>
      </w:r>
    </w:p>
    <w:p w14:paraId="7097C406">
      <w:pPr>
        <w:pStyle w:val="style0"/>
        <w:spacing w:before="60" w:after="40" w:lineRule="auto" w:line="420"/>
        <w:rPr>
          <w:rFonts w:ascii="RobotoStatic" w:cs="Zawgyi-One" w:hAnsi="Source Sans Pro"/>
        </w:rPr>
      </w:pPr>
      <w:r>
        <w:rPr>
          <w:rFonts w:ascii="RobotoStatic" w:cs="Zawgyi-One" w:hAnsi="Source Sans Pro"/>
          <w:b/>
          <w:bCs/>
        </w:rPr>
        <w:t>4. Limited Board and CEO visibility into cyber risk</w:t>
      </w:r>
    </w:p>
    <w:p w14:paraId="E37BABCA">
      <w:pPr>
        <w:pStyle w:val="style179"/>
        <w:numPr>
          <w:ilvl w:val="0"/>
          <w:numId w:val="1"/>
        </w:numPr>
        <w:spacing w:after="80" w:lineRule="auto" w:line="420"/>
        <w:rPr>
          <w:rFonts w:ascii="RobotoStatic" w:cs="Zawgyi-One" w:hAnsi="Source Sans Pro"/>
        </w:rPr>
      </w:pPr>
      <w:r>
        <w:rPr>
          <w:rFonts w:ascii="RobotoStatic" w:cs="Zawgyi-One" w:hAnsi="Source Sans Pro"/>
          <w:sz w:val="21"/>
          <w:szCs w:val="21"/>
        </w:rPr>
        <w:t>Cyber risk is not reported to the Board in a structured, recurring way; the Board receives information only if the IT Director chooses to escalate it.</w:t>
      </w:r>
    </w:p>
    <w:p w14:paraId="0741D9F2">
      <w:pPr>
        <w:pStyle w:val="style179"/>
        <w:numPr>
          <w:ilvl w:val="0"/>
          <w:numId w:val="1"/>
        </w:numPr>
        <w:spacing w:after="80" w:lineRule="auto" w:line="420"/>
        <w:rPr>
          <w:rFonts w:ascii="RobotoStatic" w:cs="Zawgyi-One" w:hAnsi="Source Sans Pro"/>
        </w:rPr>
      </w:pPr>
      <w:r>
        <w:rPr>
          <w:rFonts w:ascii="RobotoStatic" w:cs="Zawgyi-One" w:hAnsi="Source Sans Pro"/>
          <w:sz w:val="21"/>
          <w:szCs w:val="21"/>
        </w:rPr>
        <w:t>Consequence: the Board cannot discharge its fiduciary and oversight duty, directors carry personal exposure if a material incident is later found to have been foreseeable, and TechGlobal cannot evidence governance maturity to investors, insurers or regulators.</w:t>
      </w:r>
    </w:p>
    <w:p w14:paraId="9B3F8F04">
      <w:pPr>
        <w:pStyle w:val="style0"/>
        <w:spacing w:before="60" w:after="40" w:lineRule="auto" w:line="420"/>
        <w:rPr>
          <w:rFonts w:ascii="RobotoStatic" w:cs="Zawgyi-One" w:hAnsi="Source Sans Pro"/>
        </w:rPr>
      </w:pPr>
      <w:r>
        <w:rPr>
          <w:rFonts w:ascii="RobotoStatic" w:cs="Zawgyi-One" w:hAnsi="Source Sans Pro"/>
          <w:b/>
          <w:bCs/>
        </w:rPr>
        <w:t>5. No formal escalation path from operational teams to executive management or the Board</w:t>
      </w:r>
    </w:p>
    <w:p w14:paraId="934C2782">
      <w:pPr>
        <w:pStyle w:val="style179"/>
        <w:numPr>
          <w:ilvl w:val="0"/>
          <w:numId w:val="1"/>
        </w:numPr>
        <w:spacing w:after="80" w:lineRule="auto" w:line="420"/>
        <w:rPr>
          <w:rFonts w:ascii="RobotoStatic" w:cs="Zawgyi-One" w:hAnsi="Source Sans Pro"/>
        </w:rPr>
      </w:pPr>
      <w:r>
        <w:rPr>
          <w:rFonts w:ascii="RobotoStatic" w:cs="Zawgyi-One" w:hAnsi="Source Sans Pro"/>
          <w:sz w:val="21"/>
          <w:szCs w:val="21"/>
        </w:rPr>
        <w:t>There is no agreed trigger for when an operational security issue must move to executive or Board attention, and no defined decision authority at each level.</w:t>
      </w:r>
    </w:p>
    <w:p w14:paraId="1F971BE4">
      <w:pPr>
        <w:pStyle w:val="style179"/>
        <w:numPr>
          <w:ilvl w:val="0"/>
          <w:numId w:val="1"/>
        </w:numPr>
        <w:spacing w:after="80" w:lineRule="auto" w:line="420"/>
        <w:rPr>
          <w:rFonts w:ascii="RobotoStatic" w:cs="Zawgyi-One" w:hAnsi="Source Sans Pro"/>
        </w:rPr>
      </w:pPr>
      <w:r>
        <w:rPr>
          <w:rFonts w:ascii="RobotoStatic" w:cs="Zawgyi-One" w:hAnsi="Source Sans Pro"/>
          <w:sz w:val="21"/>
          <w:szCs w:val="21"/>
        </w:rPr>
        <w:t>Consequence: material risks and incidents are delayed at the operational level, regulatory notification deadlines (which are frequently time-bound, e.g. 72 hours under many breach-notification regimes) can be missed, and risk-acceptance decisions are made inconsistently depending on who happens to be involved.</w:t>
      </w:r>
    </w:p>
    <w:p w14:paraId="BB99D047">
      <w:pPr>
        <w:pStyle w:val="style0"/>
        <w:spacing w:before="60" w:after="40" w:lineRule="auto" w:line="420"/>
        <w:rPr>
          <w:rFonts w:ascii="RobotoStatic" w:cs="Zawgyi-One" w:hAnsi="Source Sans Pro"/>
        </w:rPr>
      </w:pPr>
      <w:r>
        <w:rPr>
          <w:rFonts w:ascii="RobotoStatic" w:cs="Zawgyi-One" w:hAnsi="Source Sans Pro"/>
          <w:b/>
          <w:bCs/>
        </w:rPr>
        <w:t>Additional observation</w:t>
      </w:r>
    </w:p>
    <w:p w14:paraId="2CF514FE">
      <w:pPr>
        <w:pStyle w:val="style0"/>
        <w:spacing w:after="160" w:lineRule="auto" w:line="420"/>
        <w:rPr>
          <w:rFonts w:ascii="RobotoStatic" w:cs="Zawgyi-One" w:hAnsi="Source Sans Pro"/>
        </w:rPr>
      </w:pPr>
      <w:r>
        <w:rPr>
          <w:rFonts w:ascii="RobotoStatic" w:cs="Zawgyi-One" w:hAnsi="Source Sans Pro"/>
          <w:sz w:val="21"/>
          <w:szCs w:val="21"/>
        </w:rPr>
        <w:t>A sixth, related weakness is the absence of an independent assurance function: with no internal audit or second-line risk function reviewing IT's own decisions, the organisation has no way of detecting the first five weaknesses through its own processes. This reinforces the case for the Three Lines Model adopted in Section 1.4.</w:t>
      </w:r>
    </w:p>
    <w:p w14:paraId="09054186">
      <w:pPr>
        <w:pStyle w:val="style2"/>
        <w:spacing w:before="280" w:after="140" w:lineRule="auto" w:line="420"/>
        <w:rPr>
          <w:rFonts w:ascii="RobotoStatic" w:cs="Zawgyi-One" w:hAnsi="Source Sans Pro"/>
          <w:color w:val="auto"/>
        </w:rPr>
      </w:pPr>
      <w:r>
        <w:rPr>
          <w:rFonts w:ascii="RobotoStatic" w:cs="Zawgyi-One" w:hAnsi="Source Sans Pro"/>
          <w:b/>
          <w:bCs/>
          <w:color w:val="auto"/>
          <w:sz w:val="24"/>
          <w:szCs w:val="24"/>
        </w:rPr>
        <w:t>1.2 Stakeholder Map</w:t>
      </w:r>
    </w:p>
    <w:p w14:paraId="061D4A6E">
      <w:pPr>
        <w:pStyle w:val="style0"/>
        <w:spacing w:after="160" w:lineRule="auto" w:line="420"/>
        <w:rPr>
          <w:rFonts w:ascii="RobotoStatic" w:cs="Zawgyi-One" w:hAnsi="Source Sans Pro"/>
        </w:rPr>
      </w:pPr>
      <w:r>
        <w:rPr>
          <w:rFonts w:ascii="RobotoStatic" w:cs="Zawgyi-One" w:hAnsi="Source Sans Pro"/>
          <w:sz w:val="21"/>
          <w:szCs w:val="21"/>
        </w:rPr>
        <w:t>The stakeholder map below extends the Appendix A template, setting out the authority, interests, information needs and expected governance contribution of each stakeholder group.</w:t>
      </w:r>
    </w:p>
    <w:tbl>
      <w:tblPr>
        <w:tblW w:w="9360" w:type="dxa"/>
        <w:tblInd w:w="-15" w:type="dxa"/>
        <w:tblBorders>
          <w:top w:val="single" w:sz="4" w:space="0" w:color="b9c4ce"/>
          <w:left w:val="single" w:sz="4" w:space="0" w:color="b9c4ce"/>
          <w:bottom w:val="single" w:sz="4" w:space="0" w:color="b9c4ce"/>
          <w:right w:val="single" w:sz="4" w:space="0" w:color="b9c4ce"/>
          <w:insideH w:val="single" w:sz="4" w:space="0" w:color="b9c4ce"/>
          <w:insideV w:val="single" w:sz="4" w:space="0" w:color="b9c4ce"/>
        </w:tblBorders>
        <w:tblCellMar>
          <w:top w:w="0" w:type="dxa"/>
          <w:bottom w:w="0" w:type="dxa"/>
        </w:tblCellMar>
        <w:tblLook w:val="04A0" w:firstRow="1" w:lastRow="0" w:firstColumn="1" w:lastColumn="0" w:noHBand="0" w:noVBand="1"/>
      </w:tblPr>
      <w:tblGrid>
        <w:gridCol w:w="1500"/>
        <w:gridCol w:w="1900"/>
        <w:gridCol w:w="1900"/>
        <w:gridCol w:w="1900"/>
        <w:gridCol w:w="2160"/>
      </w:tblGrid>
      <w:tr w14:paraId="4EA780BD">
        <w:trPr>
          <w:tblHeader/>
        </w:trPr>
        <w:tc>
          <w:tcPr>
            <w:tcW w:w="1500" w:type="dxa"/>
            <w:tcBorders/>
            <w:shd w:val="clear" w:color="auto" w:fill="auto"/>
            <w:tcMar>
              <w:top w:w="80" w:type="dxa"/>
              <w:left w:w="100" w:type="dxa"/>
              <w:bottom w:w="80" w:type="dxa"/>
              <w:right w:w="100" w:type="dxa"/>
            </w:tcMar>
            <w:vAlign w:val="center"/>
          </w:tcPr>
          <w:p w14:paraId="689E0A95">
            <w:pPr>
              <w:pStyle w:val="style0"/>
              <w:spacing w:lineRule="auto" w:line="420"/>
              <w:jc w:val="center"/>
              <w:rPr>
                <w:rFonts w:ascii="RobotoStatic" w:cs="Zawgyi-One" w:hAnsi="Source Sans Pro"/>
              </w:rPr>
            </w:pPr>
            <w:r>
              <w:rPr>
                <w:rFonts w:ascii="RobotoStatic" w:cs="Zawgyi-One" w:hAnsi="Source Sans Pro"/>
                <w:b/>
                <w:bCs/>
                <w:sz w:val="18"/>
                <w:szCs w:val="18"/>
              </w:rPr>
              <w:t>Stakeholder</w:t>
            </w:r>
          </w:p>
        </w:tc>
        <w:tc>
          <w:tcPr>
            <w:tcW w:w="1900" w:type="dxa"/>
            <w:tcBorders/>
            <w:shd w:val="clear" w:color="auto" w:fill="auto"/>
            <w:tcMar>
              <w:top w:w="80" w:type="dxa"/>
              <w:left w:w="100" w:type="dxa"/>
              <w:bottom w:w="80" w:type="dxa"/>
              <w:right w:w="100" w:type="dxa"/>
            </w:tcMar>
            <w:vAlign w:val="center"/>
          </w:tcPr>
          <w:p w14:paraId="F7F2D116">
            <w:pPr>
              <w:pStyle w:val="style0"/>
              <w:spacing w:lineRule="auto" w:line="420"/>
              <w:jc w:val="center"/>
              <w:rPr>
                <w:rFonts w:ascii="RobotoStatic" w:cs="Zawgyi-One" w:hAnsi="Source Sans Pro"/>
              </w:rPr>
            </w:pPr>
            <w:r>
              <w:rPr>
                <w:rFonts w:ascii="RobotoStatic" w:cs="Zawgyi-One" w:hAnsi="Source Sans Pro"/>
                <w:b/>
                <w:bCs/>
                <w:sz w:val="18"/>
                <w:szCs w:val="18"/>
              </w:rPr>
              <w:t>Authority / Influence</w:t>
            </w:r>
          </w:p>
        </w:tc>
        <w:tc>
          <w:tcPr>
            <w:tcW w:w="1900" w:type="dxa"/>
            <w:tcBorders/>
            <w:shd w:val="clear" w:color="auto" w:fill="auto"/>
            <w:tcMar>
              <w:top w:w="80" w:type="dxa"/>
              <w:left w:w="100" w:type="dxa"/>
              <w:bottom w:w="80" w:type="dxa"/>
              <w:right w:w="100" w:type="dxa"/>
            </w:tcMar>
            <w:vAlign w:val="center"/>
          </w:tcPr>
          <w:p w14:paraId="2687BCC2">
            <w:pPr>
              <w:pStyle w:val="style0"/>
              <w:spacing w:lineRule="auto" w:line="420"/>
              <w:jc w:val="center"/>
              <w:rPr>
                <w:rFonts w:ascii="RobotoStatic" w:cs="Zawgyi-One" w:hAnsi="Source Sans Pro"/>
              </w:rPr>
            </w:pPr>
            <w:r>
              <w:rPr>
                <w:rFonts w:ascii="RobotoStatic" w:cs="Zawgyi-One" w:hAnsi="Source Sans Pro"/>
                <w:b/>
                <w:bCs/>
                <w:sz w:val="18"/>
                <w:szCs w:val="18"/>
              </w:rPr>
              <w:t>Primary Interest</w:t>
            </w:r>
          </w:p>
        </w:tc>
        <w:tc>
          <w:tcPr>
            <w:tcW w:w="1900" w:type="dxa"/>
            <w:tcBorders/>
            <w:shd w:val="clear" w:color="auto" w:fill="auto"/>
            <w:tcMar>
              <w:top w:w="80" w:type="dxa"/>
              <w:left w:w="100" w:type="dxa"/>
              <w:bottom w:w="80" w:type="dxa"/>
              <w:right w:w="100" w:type="dxa"/>
            </w:tcMar>
            <w:vAlign w:val="center"/>
          </w:tcPr>
          <w:p w14:paraId="704F233A">
            <w:pPr>
              <w:pStyle w:val="style0"/>
              <w:spacing w:lineRule="auto" w:line="420"/>
              <w:jc w:val="center"/>
              <w:rPr>
                <w:rFonts w:ascii="RobotoStatic" w:cs="Zawgyi-One" w:hAnsi="Source Sans Pro"/>
              </w:rPr>
            </w:pPr>
            <w:r>
              <w:rPr>
                <w:rFonts w:ascii="RobotoStatic" w:cs="Zawgyi-One" w:hAnsi="Source Sans Pro"/>
                <w:b/>
                <w:bCs/>
                <w:sz w:val="18"/>
                <w:szCs w:val="18"/>
              </w:rPr>
              <w:t>Information Needed</w:t>
            </w:r>
          </w:p>
        </w:tc>
        <w:tc>
          <w:tcPr>
            <w:tcW w:w="2160" w:type="dxa"/>
            <w:tcBorders/>
            <w:shd w:val="clear" w:color="auto" w:fill="auto"/>
            <w:tcMar>
              <w:top w:w="80" w:type="dxa"/>
              <w:left w:w="100" w:type="dxa"/>
              <w:bottom w:w="80" w:type="dxa"/>
              <w:right w:w="100" w:type="dxa"/>
            </w:tcMar>
            <w:vAlign w:val="center"/>
          </w:tcPr>
          <w:p w14:paraId="1C0A2216">
            <w:pPr>
              <w:pStyle w:val="style0"/>
              <w:spacing w:lineRule="auto" w:line="420"/>
              <w:jc w:val="center"/>
              <w:rPr>
                <w:rFonts w:ascii="RobotoStatic" w:cs="Zawgyi-One" w:hAnsi="Source Sans Pro"/>
              </w:rPr>
            </w:pPr>
            <w:r>
              <w:rPr>
                <w:rFonts w:ascii="RobotoStatic" w:cs="Zawgyi-One" w:hAnsi="Source Sans Pro"/>
                <w:b/>
                <w:bCs/>
                <w:sz w:val="18"/>
                <w:szCs w:val="18"/>
              </w:rPr>
              <w:t>Governance Contribution</w:t>
            </w:r>
          </w:p>
        </w:tc>
      </w:tr>
      <w:tr w14:paraId="02B63624">
        <w:tblPrEx/>
        <w:trPr/>
        <w:tc>
          <w:tcPr>
            <w:tcW w:w="1500" w:type="dxa"/>
            <w:tcBorders/>
            <w:shd w:val="clear" w:color="auto" w:fill="auto"/>
            <w:tcMar>
              <w:top w:w="80" w:type="dxa"/>
              <w:left w:w="100" w:type="dxa"/>
              <w:bottom w:w="80" w:type="dxa"/>
              <w:right w:w="100" w:type="dxa"/>
            </w:tcMar>
            <w:vAlign w:val="center"/>
          </w:tcPr>
          <w:p w14:paraId="822C435D">
            <w:pPr>
              <w:pStyle w:val="style0"/>
              <w:spacing w:lineRule="auto" w:line="420"/>
              <w:rPr>
                <w:rFonts w:ascii="RobotoStatic" w:cs="Zawgyi-One" w:hAnsi="Source Sans Pro"/>
              </w:rPr>
            </w:pPr>
            <w:r>
              <w:rPr>
                <w:rFonts w:ascii="RobotoStatic" w:cs="Zawgyi-One" w:hAnsi="Source Sans Pro"/>
                <w:sz w:val="18"/>
                <w:szCs w:val="18"/>
              </w:rPr>
              <w:t>Board of Directors</w:t>
            </w:r>
          </w:p>
        </w:tc>
        <w:tc>
          <w:tcPr>
            <w:tcW w:w="1900" w:type="dxa"/>
            <w:tcBorders/>
            <w:shd w:val="clear" w:color="auto" w:fill="auto"/>
            <w:tcMar>
              <w:top w:w="80" w:type="dxa"/>
              <w:left w:w="100" w:type="dxa"/>
              <w:bottom w:w="80" w:type="dxa"/>
              <w:right w:w="100" w:type="dxa"/>
            </w:tcMar>
            <w:vAlign w:val="center"/>
          </w:tcPr>
          <w:p w14:paraId="2069A6FD">
            <w:pPr>
              <w:pStyle w:val="style0"/>
              <w:spacing w:lineRule="auto" w:line="420"/>
              <w:rPr>
                <w:rFonts w:ascii="RobotoStatic" w:cs="Zawgyi-One" w:hAnsi="Source Sans Pro"/>
              </w:rPr>
            </w:pPr>
            <w:r>
              <w:rPr>
                <w:rFonts w:ascii="RobotoStatic" w:cs="Zawgyi-One" w:hAnsi="Source Sans Pro"/>
                <w:sz w:val="18"/>
                <w:szCs w:val="18"/>
              </w:rPr>
              <w:t>Ultimate oversight; approves risk appetite and material risk acceptance</w:t>
            </w:r>
          </w:p>
        </w:tc>
        <w:tc>
          <w:tcPr>
            <w:tcW w:w="1900" w:type="dxa"/>
            <w:tcBorders/>
            <w:shd w:val="clear" w:color="auto" w:fill="auto"/>
            <w:tcMar>
              <w:top w:w="80" w:type="dxa"/>
              <w:left w:w="100" w:type="dxa"/>
              <w:bottom w:w="80" w:type="dxa"/>
              <w:right w:w="100" w:type="dxa"/>
            </w:tcMar>
            <w:vAlign w:val="center"/>
          </w:tcPr>
          <w:p w14:paraId="C314CFEA">
            <w:pPr>
              <w:pStyle w:val="style0"/>
              <w:spacing w:lineRule="auto" w:line="420"/>
              <w:rPr>
                <w:rFonts w:ascii="RobotoStatic" w:cs="Zawgyi-One" w:hAnsi="Source Sans Pro"/>
              </w:rPr>
            </w:pPr>
            <w:r>
              <w:rPr>
                <w:rFonts w:ascii="RobotoStatic" w:cs="Zawgyi-One" w:hAnsi="Source Sans Pro"/>
                <w:sz w:val="18"/>
                <w:szCs w:val="18"/>
              </w:rPr>
              <w:t>Regulatory exposure, brand reputation, fiduciary duty</w:t>
            </w:r>
          </w:p>
        </w:tc>
        <w:tc>
          <w:tcPr>
            <w:tcW w:w="1900" w:type="dxa"/>
            <w:tcBorders/>
            <w:shd w:val="clear" w:color="auto" w:fill="auto"/>
            <w:tcMar>
              <w:top w:w="80" w:type="dxa"/>
              <w:left w:w="100" w:type="dxa"/>
              <w:bottom w:w="80" w:type="dxa"/>
              <w:right w:w="100" w:type="dxa"/>
            </w:tcMar>
            <w:vAlign w:val="center"/>
          </w:tcPr>
          <w:p w14:paraId="A393D7FE">
            <w:pPr>
              <w:pStyle w:val="style0"/>
              <w:spacing w:lineRule="auto" w:line="420"/>
              <w:rPr>
                <w:rFonts w:ascii="RobotoStatic" w:cs="Zawgyi-One" w:hAnsi="Source Sans Pro"/>
              </w:rPr>
            </w:pPr>
            <w:r>
              <w:rPr>
                <w:rFonts w:ascii="RobotoStatic" w:cs="Zawgyi-One" w:hAnsi="Source Sans Pro"/>
                <w:sz w:val="18"/>
                <w:szCs w:val="18"/>
              </w:rPr>
              <w:t>Quarterly cyber-risk report, material incidents, audit findings</w:t>
            </w:r>
          </w:p>
        </w:tc>
        <w:tc>
          <w:tcPr>
            <w:tcW w:w="2160" w:type="dxa"/>
            <w:tcBorders/>
            <w:shd w:val="clear" w:color="auto" w:fill="auto"/>
            <w:tcMar>
              <w:top w:w="80" w:type="dxa"/>
              <w:left w:w="100" w:type="dxa"/>
              <w:bottom w:w="80" w:type="dxa"/>
              <w:right w:w="100" w:type="dxa"/>
            </w:tcMar>
            <w:vAlign w:val="center"/>
          </w:tcPr>
          <w:p w14:paraId="D0E2C30E">
            <w:pPr>
              <w:pStyle w:val="style0"/>
              <w:spacing w:lineRule="auto" w:line="420"/>
              <w:rPr>
                <w:rFonts w:ascii="RobotoStatic" w:cs="Zawgyi-One" w:hAnsi="Source Sans Pro"/>
              </w:rPr>
            </w:pPr>
            <w:r>
              <w:rPr>
                <w:rFonts w:ascii="RobotoStatic" w:cs="Zawgyi-One" w:hAnsi="Source Sans Pro"/>
                <w:sz w:val="18"/>
                <w:szCs w:val="18"/>
              </w:rPr>
              <w:t>Sets risk appetite; ratifies strategy; holds executives accountable</w:t>
            </w:r>
          </w:p>
        </w:tc>
      </w:tr>
      <w:tr w14:paraId="70926139">
        <w:tblPrEx/>
        <w:trPr/>
        <w:tc>
          <w:tcPr>
            <w:tcW w:w="1500" w:type="dxa"/>
            <w:tcBorders/>
            <w:shd w:val="clear" w:color="auto" w:fill="auto"/>
            <w:tcMar>
              <w:top w:w="80" w:type="dxa"/>
              <w:left w:w="100" w:type="dxa"/>
              <w:bottom w:w="80" w:type="dxa"/>
              <w:right w:w="100" w:type="dxa"/>
            </w:tcMar>
            <w:vAlign w:val="center"/>
          </w:tcPr>
          <w:p w14:paraId="91AC269F">
            <w:pPr>
              <w:pStyle w:val="style0"/>
              <w:spacing w:lineRule="auto" w:line="420"/>
              <w:rPr>
                <w:rFonts w:ascii="RobotoStatic" w:cs="Zawgyi-One" w:hAnsi="Source Sans Pro"/>
              </w:rPr>
            </w:pPr>
            <w:r>
              <w:rPr>
                <w:rFonts w:ascii="RobotoStatic" w:cs="Zawgyi-One" w:hAnsi="Source Sans Pro"/>
                <w:sz w:val="18"/>
                <w:szCs w:val="18"/>
              </w:rPr>
              <w:t>CEO</w:t>
            </w:r>
          </w:p>
        </w:tc>
        <w:tc>
          <w:tcPr>
            <w:tcW w:w="1900" w:type="dxa"/>
            <w:tcBorders/>
            <w:shd w:val="clear" w:color="auto" w:fill="auto"/>
            <w:tcMar>
              <w:top w:w="80" w:type="dxa"/>
              <w:left w:w="100" w:type="dxa"/>
              <w:bottom w:w="80" w:type="dxa"/>
              <w:right w:w="100" w:type="dxa"/>
            </w:tcMar>
            <w:vAlign w:val="center"/>
          </w:tcPr>
          <w:p w14:paraId="9D37B153">
            <w:pPr>
              <w:pStyle w:val="style0"/>
              <w:spacing w:lineRule="auto" w:line="420"/>
              <w:rPr>
                <w:rFonts w:ascii="RobotoStatic" w:cs="Zawgyi-One" w:hAnsi="Source Sans Pro"/>
              </w:rPr>
            </w:pPr>
            <w:r>
              <w:rPr>
                <w:rFonts w:ascii="RobotoStatic" w:cs="Zawgyi-One" w:hAnsi="Source Sans Pro"/>
                <w:sz w:val="18"/>
                <w:szCs w:val="18"/>
              </w:rPr>
              <w:t>Executive accountability for the business; chairs Executive Security Council</w:t>
            </w:r>
          </w:p>
        </w:tc>
        <w:tc>
          <w:tcPr>
            <w:tcW w:w="1900" w:type="dxa"/>
            <w:tcBorders/>
            <w:shd w:val="clear" w:color="auto" w:fill="auto"/>
            <w:tcMar>
              <w:top w:w="80" w:type="dxa"/>
              <w:left w:w="100" w:type="dxa"/>
              <w:bottom w:w="80" w:type="dxa"/>
              <w:right w:w="100" w:type="dxa"/>
            </w:tcMar>
            <w:vAlign w:val="center"/>
          </w:tcPr>
          <w:p w14:paraId="FD698C76">
            <w:pPr>
              <w:pStyle w:val="style0"/>
              <w:spacing w:lineRule="auto" w:line="420"/>
              <w:rPr>
                <w:rFonts w:ascii="RobotoStatic" w:cs="Zawgyi-One" w:hAnsi="Source Sans Pro"/>
              </w:rPr>
            </w:pPr>
            <w:r>
              <w:rPr>
                <w:rFonts w:ascii="RobotoStatic" w:cs="Zawgyi-One" w:hAnsi="Source Sans Pro"/>
                <w:sz w:val="18"/>
                <w:szCs w:val="18"/>
              </w:rPr>
              <w:t>Growth, strategic alignment, acceptable risk-adjusted performance</w:t>
            </w:r>
          </w:p>
        </w:tc>
        <w:tc>
          <w:tcPr>
            <w:tcW w:w="1900" w:type="dxa"/>
            <w:tcBorders/>
            <w:shd w:val="clear" w:color="auto" w:fill="auto"/>
            <w:tcMar>
              <w:top w:w="80" w:type="dxa"/>
              <w:left w:w="100" w:type="dxa"/>
              <w:bottom w:w="80" w:type="dxa"/>
              <w:right w:w="100" w:type="dxa"/>
            </w:tcMar>
            <w:vAlign w:val="center"/>
          </w:tcPr>
          <w:p w14:paraId="504E1A76">
            <w:pPr>
              <w:pStyle w:val="style0"/>
              <w:spacing w:lineRule="auto" w:line="420"/>
              <w:rPr>
                <w:rFonts w:ascii="RobotoStatic" w:cs="Zawgyi-One" w:hAnsi="Source Sans Pro"/>
              </w:rPr>
            </w:pPr>
            <w:r>
              <w:rPr>
                <w:rFonts w:ascii="RobotoStatic" w:cs="Zawgyi-One" w:hAnsi="Source Sans Pro"/>
                <w:sz w:val="18"/>
                <w:szCs w:val="18"/>
              </w:rPr>
              <w:t>Strategic risk summary, budget requests, material incident briefings</w:t>
            </w:r>
          </w:p>
        </w:tc>
        <w:tc>
          <w:tcPr>
            <w:tcW w:w="2160" w:type="dxa"/>
            <w:tcBorders/>
            <w:shd w:val="clear" w:color="auto" w:fill="auto"/>
            <w:tcMar>
              <w:top w:w="80" w:type="dxa"/>
              <w:left w:w="100" w:type="dxa"/>
              <w:bottom w:w="80" w:type="dxa"/>
              <w:right w:w="100" w:type="dxa"/>
            </w:tcMar>
            <w:vAlign w:val="center"/>
          </w:tcPr>
          <w:p w14:paraId="4AA75B5F">
            <w:pPr>
              <w:pStyle w:val="style0"/>
              <w:spacing w:lineRule="auto" w:line="420"/>
              <w:rPr>
                <w:rFonts w:ascii="RobotoStatic" w:cs="Zawgyi-One" w:hAnsi="Source Sans Pro"/>
              </w:rPr>
            </w:pPr>
            <w:r>
              <w:rPr>
                <w:rFonts w:ascii="RobotoStatic" w:cs="Zawgyi-One" w:hAnsi="Source Sans Pro"/>
                <w:sz w:val="18"/>
                <w:szCs w:val="18"/>
              </w:rPr>
              <w:t>Approves strategy and budget; owns escalation of material risk to the Board</w:t>
            </w:r>
          </w:p>
        </w:tc>
      </w:tr>
      <w:tr w14:paraId="62DFAFD4">
        <w:tblPrEx/>
        <w:trPr/>
        <w:tc>
          <w:tcPr>
            <w:tcW w:w="1500" w:type="dxa"/>
            <w:tcBorders/>
            <w:shd w:val="clear" w:color="auto" w:fill="auto"/>
            <w:tcMar>
              <w:top w:w="80" w:type="dxa"/>
              <w:left w:w="100" w:type="dxa"/>
              <w:bottom w:w="80" w:type="dxa"/>
              <w:right w:w="100" w:type="dxa"/>
            </w:tcMar>
            <w:vAlign w:val="center"/>
          </w:tcPr>
          <w:p w14:paraId="31405286">
            <w:pPr>
              <w:pStyle w:val="style0"/>
              <w:spacing w:lineRule="auto" w:line="420"/>
              <w:rPr>
                <w:rFonts w:ascii="RobotoStatic" w:cs="Zawgyi-One" w:hAnsi="Source Sans Pro"/>
              </w:rPr>
            </w:pPr>
            <w:r>
              <w:rPr>
                <w:rFonts w:ascii="RobotoStatic" w:cs="Zawgyi-One" w:hAnsi="Source Sans Pro"/>
                <w:sz w:val="18"/>
                <w:szCs w:val="18"/>
              </w:rPr>
              <w:t>CISO</w:t>
            </w:r>
          </w:p>
        </w:tc>
        <w:tc>
          <w:tcPr>
            <w:tcW w:w="1900" w:type="dxa"/>
            <w:tcBorders/>
            <w:shd w:val="clear" w:color="auto" w:fill="auto"/>
            <w:tcMar>
              <w:top w:w="80" w:type="dxa"/>
              <w:left w:w="100" w:type="dxa"/>
              <w:bottom w:w="80" w:type="dxa"/>
              <w:right w:w="100" w:type="dxa"/>
            </w:tcMar>
            <w:vAlign w:val="center"/>
          </w:tcPr>
          <w:p w14:paraId="61CFDE47">
            <w:pPr>
              <w:pStyle w:val="style0"/>
              <w:spacing w:lineRule="auto" w:line="420"/>
              <w:rPr>
                <w:rFonts w:ascii="RobotoStatic" w:cs="Zawgyi-One" w:hAnsi="Source Sans Pro"/>
              </w:rPr>
            </w:pPr>
            <w:r>
              <w:rPr>
                <w:rFonts w:ascii="RobotoStatic" w:cs="Zawgyi-One" w:hAnsi="Source Sans Pro"/>
                <w:sz w:val="18"/>
                <w:szCs w:val="18"/>
              </w:rPr>
              <w:t>Delegated authority over security strategy, policy and risk reporting</w:t>
            </w:r>
          </w:p>
        </w:tc>
        <w:tc>
          <w:tcPr>
            <w:tcW w:w="1900" w:type="dxa"/>
            <w:tcBorders/>
            <w:shd w:val="clear" w:color="auto" w:fill="auto"/>
            <w:tcMar>
              <w:top w:w="80" w:type="dxa"/>
              <w:left w:w="100" w:type="dxa"/>
              <w:bottom w:w="80" w:type="dxa"/>
              <w:right w:w="100" w:type="dxa"/>
            </w:tcMar>
            <w:vAlign w:val="center"/>
          </w:tcPr>
          <w:p w14:paraId="27D2C71C">
            <w:pPr>
              <w:pStyle w:val="style0"/>
              <w:spacing w:lineRule="auto" w:line="420"/>
              <w:rPr>
                <w:rFonts w:ascii="RobotoStatic" w:cs="Zawgyi-One" w:hAnsi="Source Sans Pro"/>
              </w:rPr>
            </w:pPr>
            <w:r>
              <w:rPr>
                <w:rFonts w:ascii="RobotoStatic" w:cs="Zawgyi-One" w:hAnsi="Source Sans Pro"/>
                <w:sz w:val="18"/>
                <w:szCs w:val="18"/>
              </w:rPr>
              <w:t>Programme effectiveness, risk visibility, defensible control posture</w:t>
            </w:r>
          </w:p>
        </w:tc>
        <w:tc>
          <w:tcPr>
            <w:tcW w:w="1900" w:type="dxa"/>
            <w:tcBorders/>
            <w:shd w:val="clear" w:color="auto" w:fill="auto"/>
            <w:tcMar>
              <w:top w:w="80" w:type="dxa"/>
              <w:left w:w="100" w:type="dxa"/>
              <w:bottom w:w="80" w:type="dxa"/>
              <w:right w:w="100" w:type="dxa"/>
            </w:tcMar>
            <w:vAlign w:val="center"/>
          </w:tcPr>
          <w:p w14:paraId="93817137">
            <w:pPr>
              <w:pStyle w:val="style0"/>
              <w:spacing w:lineRule="auto" w:line="420"/>
              <w:rPr>
                <w:rFonts w:ascii="RobotoStatic" w:cs="Zawgyi-One" w:hAnsi="Source Sans Pro"/>
              </w:rPr>
            </w:pPr>
            <w:r>
              <w:rPr>
                <w:rFonts w:ascii="RobotoStatic" w:cs="Zawgyi-One" w:hAnsi="Source Sans Pro"/>
                <w:sz w:val="18"/>
                <w:szCs w:val="18"/>
              </w:rPr>
              <w:t>Threat intelligence, audit results, incident data, control metrics</w:t>
            </w:r>
          </w:p>
        </w:tc>
        <w:tc>
          <w:tcPr>
            <w:tcW w:w="2160" w:type="dxa"/>
            <w:tcBorders/>
            <w:shd w:val="clear" w:color="auto" w:fill="auto"/>
            <w:tcMar>
              <w:top w:w="80" w:type="dxa"/>
              <w:left w:w="100" w:type="dxa"/>
              <w:bottom w:w="80" w:type="dxa"/>
              <w:right w:w="100" w:type="dxa"/>
            </w:tcMar>
            <w:vAlign w:val="center"/>
          </w:tcPr>
          <w:p w14:paraId="B1820D2D">
            <w:pPr>
              <w:pStyle w:val="style0"/>
              <w:spacing w:lineRule="auto" w:line="420"/>
              <w:rPr>
                <w:rFonts w:ascii="RobotoStatic" w:cs="Zawgyi-One" w:hAnsi="Source Sans Pro"/>
              </w:rPr>
            </w:pPr>
            <w:r>
              <w:rPr>
                <w:rFonts w:ascii="RobotoStatic" w:cs="Zawgyi-One" w:hAnsi="Source Sans Pro"/>
                <w:sz w:val="18"/>
                <w:szCs w:val="18"/>
              </w:rPr>
              <w:t>Designs governance framework; chairs Steering Committee; reports risk to executives and Board</w:t>
            </w:r>
          </w:p>
        </w:tc>
      </w:tr>
      <w:tr w14:paraId="2C5670D0">
        <w:tblPrEx/>
        <w:trPr/>
        <w:tc>
          <w:tcPr>
            <w:tcW w:w="1500" w:type="dxa"/>
            <w:tcBorders/>
            <w:shd w:val="clear" w:color="auto" w:fill="auto"/>
            <w:tcMar>
              <w:top w:w="80" w:type="dxa"/>
              <w:left w:w="100" w:type="dxa"/>
              <w:bottom w:w="80" w:type="dxa"/>
              <w:right w:w="100" w:type="dxa"/>
            </w:tcMar>
            <w:vAlign w:val="center"/>
          </w:tcPr>
          <w:p w14:paraId="7995469D">
            <w:pPr>
              <w:pStyle w:val="style0"/>
              <w:spacing w:lineRule="auto" w:line="420"/>
              <w:rPr>
                <w:rFonts w:ascii="RobotoStatic" w:cs="Zawgyi-One" w:hAnsi="Source Sans Pro"/>
              </w:rPr>
            </w:pPr>
            <w:r>
              <w:rPr>
                <w:rFonts w:ascii="RobotoStatic" w:cs="Zawgyi-One" w:hAnsi="Source Sans Pro"/>
                <w:sz w:val="18"/>
                <w:szCs w:val="18"/>
              </w:rPr>
              <w:t>CRO / Risk</w:t>
            </w:r>
          </w:p>
        </w:tc>
        <w:tc>
          <w:tcPr>
            <w:tcW w:w="1900" w:type="dxa"/>
            <w:tcBorders/>
            <w:shd w:val="clear" w:color="auto" w:fill="auto"/>
            <w:tcMar>
              <w:top w:w="80" w:type="dxa"/>
              <w:left w:w="100" w:type="dxa"/>
              <w:bottom w:w="80" w:type="dxa"/>
              <w:right w:w="100" w:type="dxa"/>
            </w:tcMar>
            <w:vAlign w:val="center"/>
          </w:tcPr>
          <w:p w14:paraId="4BB36FF9">
            <w:pPr>
              <w:pStyle w:val="style0"/>
              <w:spacing w:lineRule="auto" w:line="420"/>
              <w:rPr>
                <w:rFonts w:ascii="RobotoStatic" w:cs="Zawgyi-One" w:hAnsi="Source Sans Pro"/>
              </w:rPr>
            </w:pPr>
            <w:r>
              <w:rPr>
                <w:rFonts w:ascii="RobotoStatic" w:cs="Zawgyi-One" w:hAnsi="Source Sans Pro"/>
                <w:sz w:val="18"/>
                <w:szCs w:val="18"/>
              </w:rPr>
              <w:t>Owns enterprise risk methodology and risk-acceptance authority</w:t>
            </w:r>
          </w:p>
        </w:tc>
        <w:tc>
          <w:tcPr>
            <w:tcW w:w="1900" w:type="dxa"/>
            <w:tcBorders/>
            <w:shd w:val="clear" w:color="auto" w:fill="auto"/>
            <w:tcMar>
              <w:top w:w="80" w:type="dxa"/>
              <w:left w:w="100" w:type="dxa"/>
              <w:bottom w:w="80" w:type="dxa"/>
              <w:right w:w="100" w:type="dxa"/>
            </w:tcMar>
            <w:vAlign w:val="center"/>
          </w:tcPr>
          <w:p w14:paraId="E9E52E1E">
            <w:pPr>
              <w:pStyle w:val="style0"/>
              <w:spacing w:lineRule="auto" w:line="420"/>
              <w:rPr>
                <w:rFonts w:ascii="RobotoStatic" w:cs="Zawgyi-One" w:hAnsi="Source Sans Pro"/>
              </w:rPr>
            </w:pPr>
            <w:r>
              <w:rPr>
                <w:rFonts w:ascii="RobotoStatic" w:cs="Zawgyi-One" w:hAnsi="Source Sans Pro"/>
                <w:sz w:val="18"/>
                <w:szCs w:val="18"/>
              </w:rPr>
              <w:t>Consistent, aggregated view of risk across the enterprise</w:t>
            </w:r>
          </w:p>
        </w:tc>
        <w:tc>
          <w:tcPr>
            <w:tcW w:w="1900" w:type="dxa"/>
            <w:tcBorders/>
            <w:shd w:val="clear" w:color="auto" w:fill="auto"/>
            <w:tcMar>
              <w:top w:w="80" w:type="dxa"/>
              <w:left w:w="100" w:type="dxa"/>
              <w:bottom w:w="80" w:type="dxa"/>
              <w:right w:w="100" w:type="dxa"/>
            </w:tcMar>
            <w:vAlign w:val="center"/>
          </w:tcPr>
          <w:p w14:paraId="2FCA49BE">
            <w:pPr>
              <w:pStyle w:val="style0"/>
              <w:spacing w:lineRule="auto" w:line="420"/>
              <w:rPr>
                <w:rFonts w:ascii="RobotoStatic" w:cs="Zawgyi-One" w:hAnsi="Source Sans Pro"/>
              </w:rPr>
            </w:pPr>
            <w:r>
              <w:rPr>
                <w:rFonts w:ascii="RobotoStatic" w:cs="Zawgyi-One" w:hAnsi="Source Sans Pro"/>
                <w:sz w:val="18"/>
                <w:szCs w:val="18"/>
              </w:rPr>
              <w:t>Risk register inputs from all domains, including cyber</w:t>
            </w:r>
          </w:p>
        </w:tc>
        <w:tc>
          <w:tcPr>
            <w:tcW w:w="2160" w:type="dxa"/>
            <w:tcBorders/>
            <w:shd w:val="clear" w:color="auto" w:fill="auto"/>
            <w:tcMar>
              <w:top w:w="80" w:type="dxa"/>
              <w:left w:w="100" w:type="dxa"/>
              <w:bottom w:w="80" w:type="dxa"/>
              <w:right w:w="100" w:type="dxa"/>
            </w:tcMar>
            <w:vAlign w:val="center"/>
          </w:tcPr>
          <w:p w14:paraId="541E2F95">
            <w:pPr>
              <w:pStyle w:val="style0"/>
              <w:spacing w:lineRule="auto" w:line="420"/>
              <w:rPr>
                <w:rFonts w:ascii="RobotoStatic" w:cs="Zawgyi-One" w:hAnsi="Source Sans Pro"/>
              </w:rPr>
            </w:pPr>
            <w:r>
              <w:rPr>
                <w:rFonts w:ascii="RobotoStatic" w:cs="Zawgyi-One" w:hAnsi="Source Sans Pro"/>
                <w:sz w:val="18"/>
                <w:szCs w:val="18"/>
              </w:rPr>
              <w:t>Integrates cyber risk into enterprise risk register; approves/declines risk acceptance</w:t>
            </w:r>
          </w:p>
        </w:tc>
      </w:tr>
      <w:tr w14:paraId="54DFE4F7">
        <w:tblPrEx/>
        <w:trPr/>
        <w:tc>
          <w:tcPr>
            <w:tcW w:w="1500" w:type="dxa"/>
            <w:tcBorders/>
            <w:shd w:val="clear" w:color="auto" w:fill="auto"/>
            <w:tcMar>
              <w:top w:w="80" w:type="dxa"/>
              <w:left w:w="100" w:type="dxa"/>
              <w:bottom w:w="80" w:type="dxa"/>
              <w:right w:w="100" w:type="dxa"/>
            </w:tcMar>
            <w:vAlign w:val="center"/>
          </w:tcPr>
          <w:p w14:paraId="6577DD7F">
            <w:pPr>
              <w:pStyle w:val="style0"/>
              <w:spacing w:lineRule="auto" w:line="420"/>
              <w:rPr>
                <w:rFonts w:ascii="RobotoStatic" w:cs="Zawgyi-One" w:hAnsi="Source Sans Pro"/>
              </w:rPr>
            </w:pPr>
            <w:r>
              <w:rPr>
                <w:rFonts w:ascii="RobotoStatic" w:cs="Zawgyi-One" w:hAnsi="Source Sans Pro"/>
                <w:sz w:val="18"/>
                <w:szCs w:val="18"/>
              </w:rPr>
              <w:t>Legal / Compliance</w:t>
            </w:r>
          </w:p>
        </w:tc>
        <w:tc>
          <w:tcPr>
            <w:tcW w:w="1900" w:type="dxa"/>
            <w:tcBorders/>
            <w:shd w:val="clear" w:color="auto" w:fill="auto"/>
            <w:tcMar>
              <w:top w:w="80" w:type="dxa"/>
              <w:left w:w="100" w:type="dxa"/>
              <w:bottom w:w="80" w:type="dxa"/>
              <w:right w:w="100" w:type="dxa"/>
            </w:tcMar>
            <w:vAlign w:val="center"/>
          </w:tcPr>
          <w:p w14:paraId="75BC0A7E">
            <w:pPr>
              <w:pStyle w:val="style0"/>
              <w:spacing w:lineRule="auto" w:line="420"/>
              <w:rPr>
                <w:rFonts w:ascii="RobotoStatic" w:cs="Zawgyi-One" w:hAnsi="Source Sans Pro"/>
              </w:rPr>
            </w:pPr>
            <w:r>
              <w:rPr>
                <w:rFonts w:ascii="RobotoStatic" w:cs="Zawgyi-One" w:hAnsi="Source Sans Pro"/>
                <w:sz w:val="18"/>
                <w:szCs w:val="18"/>
              </w:rPr>
              <w:t>Authority over regulatory interpretation and notification decisions</w:t>
            </w:r>
          </w:p>
        </w:tc>
        <w:tc>
          <w:tcPr>
            <w:tcW w:w="1900" w:type="dxa"/>
            <w:tcBorders/>
            <w:shd w:val="clear" w:color="auto" w:fill="auto"/>
            <w:tcMar>
              <w:top w:w="80" w:type="dxa"/>
              <w:left w:w="100" w:type="dxa"/>
              <w:bottom w:w="80" w:type="dxa"/>
              <w:right w:w="100" w:type="dxa"/>
            </w:tcMar>
            <w:vAlign w:val="center"/>
          </w:tcPr>
          <w:p w14:paraId="74B6A63B">
            <w:pPr>
              <w:pStyle w:val="style0"/>
              <w:spacing w:lineRule="auto" w:line="420"/>
              <w:rPr>
                <w:rFonts w:ascii="RobotoStatic" w:cs="Zawgyi-One" w:hAnsi="Source Sans Pro"/>
              </w:rPr>
            </w:pPr>
            <w:r>
              <w:rPr>
                <w:rFonts w:ascii="RobotoStatic" w:cs="Zawgyi-One" w:hAnsi="Source Sans Pro"/>
                <w:sz w:val="18"/>
                <w:szCs w:val="18"/>
              </w:rPr>
              <w:t>Regulatory duties, contractual obligations, litigation exposure</w:t>
            </w:r>
          </w:p>
        </w:tc>
        <w:tc>
          <w:tcPr>
            <w:tcW w:w="1900" w:type="dxa"/>
            <w:tcBorders/>
            <w:shd w:val="clear" w:color="auto" w:fill="auto"/>
            <w:tcMar>
              <w:top w:w="80" w:type="dxa"/>
              <w:left w:w="100" w:type="dxa"/>
              <w:bottom w:w="80" w:type="dxa"/>
              <w:right w:w="100" w:type="dxa"/>
            </w:tcMar>
            <w:vAlign w:val="center"/>
          </w:tcPr>
          <w:p w14:paraId="874A7BE5">
            <w:pPr>
              <w:pStyle w:val="style0"/>
              <w:spacing w:lineRule="auto" w:line="420"/>
              <w:rPr>
                <w:rFonts w:ascii="RobotoStatic" w:cs="Zawgyi-One" w:hAnsi="Source Sans Pro"/>
              </w:rPr>
            </w:pPr>
            <w:r>
              <w:rPr>
                <w:rFonts w:ascii="RobotoStatic" w:cs="Zawgyi-One" w:hAnsi="Source Sans Pro"/>
                <w:sz w:val="18"/>
                <w:szCs w:val="18"/>
              </w:rPr>
              <w:t>Incident facts, data types affected, jurisdictional exposure</w:t>
            </w:r>
          </w:p>
        </w:tc>
        <w:tc>
          <w:tcPr>
            <w:tcW w:w="2160" w:type="dxa"/>
            <w:tcBorders/>
            <w:shd w:val="clear" w:color="auto" w:fill="auto"/>
            <w:tcMar>
              <w:top w:w="80" w:type="dxa"/>
              <w:left w:w="100" w:type="dxa"/>
              <w:bottom w:w="80" w:type="dxa"/>
              <w:right w:w="100" w:type="dxa"/>
            </w:tcMar>
            <w:vAlign w:val="center"/>
          </w:tcPr>
          <w:p w14:paraId="8E94FAA2">
            <w:pPr>
              <w:pStyle w:val="style0"/>
              <w:spacing w:lineRule="auto" w:line="420"/>
              <w:rPr>
                <w:rFonts w:ascii="RobotoStatic" w:cs="Zawgyi-One" w:hAnsi="Source Sans Pro"/>
              </w:rPr>
            </w:pPr>
            <w:r>
              <w:rPr>
                <w:rFonts w:ascii="RobotoStatic" w:cs="Zawgyi-One" w:hAnsi="Source Sans Pro"/>
                <w:sz w:val="18"/>
                <w:szCs w:val="18"/>
              </w:rPr>
              <w:t>Advises on obligations; makes regulatory notification calls; reviews contracts and policies</w:t>
            </w:r>
          </w:p>
        </w:tc>
      </w:tr>
      <w:tr w14:paraId="24E5BB0D">
        <w:tblPrEx/>
        <w:trPr/>
        <w:tc>
          <w:tcPr>
            <w:tcW w:w="1500" w:type="dxa"/>
            <w:tcBorders/>
            <w:shd w:val="clear" w:color="auto" w:fill="auto"/>
            <w:tcMar>
              <w:top w:w="80" w:type="dxa"/>
              <w:left w:w="100" w:type="dxa"/>
              <w:bottom w:w="80" w:type="dxa"/>
              <w:right w:w="100" w:type="dxa"/>
            </w:tcMar>
            <w:vAlign w:val="center"/>
          </w:tcPr>
          <w:p w14:paraId="75B692AE">
            <w:pPr>
              <w:pStyle w:val="style0"/>
              <w:spacing w:lineRule="auto" w:line="420"/>
              <w:rPr>
                <w:rFonts w:ascii="RobotoStatic" w:cs="Zawgyi-One" w:hAnsi="Source Sans Pro"/>
              </w:rPr>
            </w:pPr>
            <w:r>
              <w:rPr>
                <w:rFonts w:ascii="RobotoStatic" w:cs="Zawgyi-One" w:hAnsi="Source Sans Pro"/>
                <w:sz w:val="18"/>
                <w:szCs w:val="18"/>
              </w:rPr>
              <w:t>Finance</w:t>
            </w:r>
          </w:p>
        </w:tc>
        <w:tc>
          <w:tcPr>
            <w:tcW w:w="1900" w:type="dxa"/>
            <w:tcBorders/>
            <w:shd w:val="clear" w:color="auto" w:fill="auto"/>
            <w:tcMar>
              <w:top w:w="80" w:type="dxa"/>
              <w:left w:w="100" w:type="dxa"/>
              <w:bottom w:w="80" w:type="dxa"/>
              <w:right w:w="100" w:type="dxa"/>
            </w:tcMar>
            <w:vAlign w:val="center"/>
          </w:tcPr>
          <w:p w14:paraId="33F8EF43">
            <w:pPr>
              <w:pStyle w:val="style0"/>
              <w:spacing w:lineRule="auto" w:line="420"/>
              <w:rPr>
                <w:rFonts w:ascii="RobotoStatic" w:cs="Zawgyi-One" w:hAnsi="Source Sans Pro"/>
              </w:rPr>
            </w:pPr>
            <w:r>
              <w:rPr>
                <w:rFonts w:ascii="RobotoStatic" w:cs="Zawgyi-One" w:hAnsi="Source Sans Pro"/>
                <w:sz w:val="18"/>
                <w:szCs w:val="18"/>
              </w:rPr>
              <w:t>Controls budget allocation and financial-loss exposure reporting</w:t>
            </w:r>
          </w:p>
        </w:tc>
        <w:tc>
          <w:tcPr>
            <w:tcW w:w="1900" w:type="dxa"/>
            <w:tcBorders/>
            <w:shd w:val="clear" w:color="auto" w:fill="auto"/>
            <w:tcMar>
              <w:top w:w="80" w:type="dxa"/>
              <w:left w:w="100" w:type="dxa"/>
              <w:bottom w:w="80" w:type="dxa"/>
              <w:right w:w="100" w:type="dxa"/>
            </w:tcMar>
            <w:vAlign w:val="center"/>
          </w:tcPr>
          <w:p w14:paraId="0F293A08">
            <w:pPr>
              <w:pStyle w:val="style0"/>
              <w:spacing w:lineRule="auto" w:line="420"/>
              <w:rPr>
                <w:rFonts w:ascii="RobotoStatic" w:cs="Zawgyi-One" w:hAnsi="Source Sans Pro"/>
              </w:rPr>
            </w:pPr>
            <w:r>
              <w:rPr>
                <w:rFonts w:ascii="RobotoStatic" w:cs="Zawgyi-One" w:hAnsi="Source Sans Pro"/>
                <w:sz w:val="18"/>
                <w:szCs w:val="18"/>
              </w:rPr>
              <w:t>Cost of controls vs cost of risk; insurance and audit cost</w:t>
            </w:r>
          </w:p>
        </w:tc>
        <w:tc>
          <w:tcPr>
            <w:tcW w:w="1900" w:type="dxa"/>
            <w:tcBorders/>
            <w:shd w:val="clear" w:color="auto" w:fill="auto"/>
            <w:tcMar>
              <w:top w:w="80" w:type="dxa"/>
              <w:left w:w="100" w:type="dxa"/>
              <w:bottom w:w="80" w:type="dxa"/>
              <w:right w:w="100" w:type="dxa"/>
            </w:tcMar>
            <w:vAlign w:val="center"/>
          </w:tcPr>
          <w:p w14:paraId="0C65930D">
            <w:pPr>
              <w:pStyle w:val="style0"/>
              <w:spacing w:lineRule="auto" w:line="420"/>
              <w:rPr>
                <w:rFonts w:ascii="RobotoStatic" w:cs="Zawgyi-One" w:hAnsi="Source Sans Pro"/>
              </w:rPr>
            </w:pPr>
            <w:r>
              <w:rPr>
                <w:rFonts w:ascii="RobotoStatic" w:cs="Zawgyi-One" w:hAnsi="Source Sans Pro"/>
                <w:sz w:val="18"/>
                <w:szCs w:val="18"/>
              </w:rPr>
              <w:t>Security budget requests, loss/incident cost data</w:t>
            </w:r>
          </w:p>
        </w:tc>
        <w:tc>
          <w:tcPr>
            <w:tcW w:w="2160" w:type="dxa"/>
            <w:tcBorders/>
            <w:shd w:val="clear" w:color="auto" w:fill="auto"/>
            <w:tcMar>
              <w:top w:w="80" w:type="dxa"/>
              <w:left w:w="100" w:type="dxa"/>
              <w:bottom w:w="80" w:type="dxa"/>
              <w:right w:w="100" w:type="dxa"/>
            </w:tcMar>
            <w:vAlign w:val="center"/>
          </w:tcPr>
          <w:p w14:paraId="120F13A3">
            <w:pPr>
              <w:pStyle w:val="style0"/>
              <w:spacing w:lineRule="auto" w:line="420"/>
              <w:rPr>
                <w:rFonts w:ascii="RobotoStatic" w:cs="Zawgyi-One" w:hAnsi="Source Sans Pro"/>
              </w:rPr>
            </w:pPr>
            <w:r>
              <w:rPr>
                <w:rFonts w:ascii="RobotoStatic" w:cs="Zawgyi-One" w:hAnsi="Source Sans Pro"/>
                <w:sz w:val="18"/>
                <w:szCs w:val="18"/>
              </w:rPr>
              <w:t>Approves and tracks security spend; models financial impact of risk scenarios</w:t>
            </w:r>
          </w:p>
        </w:tc>
      </w:tr>
      <w:tr w14:paraId="C26C5824">
        <w:tblPrEx/>
        <w:trPr/>
        <w:tc>
          <w:tcPr>
            <w:tcW w:w="1500" w:type="dxa"/>
            <w:tcBorders/>
            <w:shd w:val="clear" w:color="auto" w:fill="auto"/>
            <w:tcMar>
              <w:top w:w="80" w:type="dxa"/>
              <w:left w:w="100" w:type="dxa"/>
              <w:bottom w:w="80" w:type="dxa"/>
              <w:right w:w="100" w:type="dxa"/>
            </w:tcMar>
            <w:vAlign w:val="center"/>
          </w:tcPr>
          <w:p w14:paraId="30E7C1AF">
            <w:pPr>
              <w:pStyle w:val="style0"/>
              <w:spacing w:lineRule="auto" w:line="420"/>
              <w:rPr>
                <w:rFonts w:ascii="RobotoStatic" w:cs="Zawgyi-One" w:hAnsi="Source Sans Pro"/>
              </w:rPr>
            </w:pPr>
            <w:r>
              <w:rPr>
                <w:rFonts w:ascii="RobotoStatic" w:cs="Zawgyi-One" w:hAnsi="Source Sans Pro"/>
                <w:sz w:val="18"/>
                <w:szCs w:val="18"/>
              </w:rPr>
              <w:t>Human Resources</w:t>
            </w:r>
          </w:p>
        </w:tc>
        <w:tc>
          <w:tcPr>
            <w:tcW w:w="1900" w:type="dxa"/>
            <w:tcBorders/>
            <w:shd w:val="clear" w:color="auto" w:fill="auto"/>
            <w:tcMar>
              <w:top w:w="80" w:type="dxa"/>
              <w:left w:w="100" w:type="dxa"/>
              <w:bottom w:w="80" w:type="dxa"/>
              <w:right w:w="100" w:type="dxa"/>
            </w:tcMar>
            <w:vAlign w:val="center"/>
          </w:tcPr>
          <w:p w14:paraId="97D1DEA0">
            <w:pPr>
              <w:pStyle w:val="style0"/>
              <w:spacing w:lineRule="auto" w:line="420"/>
              <w:rPr>
                <w:rFonts w:ascii="RobotoStatic" w:cs="Zawgyi-One" w:hAnsi="Source Sans Pro"/>
              </w:rPr>
            </w:pPr>
            <w:r>
              <w:rPr>
                <w:rFonts w:ascii="RobotoStatic" w:cs="Zawgyi-One" w:hAnsi="Source Sans Pro"/>
                <w:sz w:val="18"/>
                <w:szCs w:val="18"/>
              </w:rPr>
              <w:t>Owns joiner/mover/leaver process and disciplinary framework</w:t>
            </w:r>
          </w:p>
        </w:tc>
        <w:tc>
          <w:tcPr>
            <w:tcW w:w="1900" w:type="dxa"/>
            <w:tcBorders/>
            <w:shd w:val="clear" w:color="auto" w:fill="auto"/>
            <w:tcMar>
              <w:top w:w="80" w:type="dxa"/>
              <w:left w:w="100" w:type="dxa"/>
              <w:bottom w:w="80" w:type="dxa"/>
              <w:right w:w="100" w:type="dxa"/>
            </w:tcMar>
            <w:vAlign w:val="center"/>
          </w:tcPr>
          <w:p w14:paraId="B722CC83">
            <w:pPr>
              <w:pStyle w:val="style0"/>
              <w:spacing w:lineRule="auto" w:line="420"/>
              <w:rPr>
                <w:rFonts w:ascii="RobotoStatic" w:cs="Zawgyi-One" w:hAnsi="Source Sans Pro"/>
              </w:rPr>
            </w:pPr>
            <w:r>
              <w:rPr>
                <w:rFonts w:ascii="RobotoStatic" w:cs="Zawgyi-One" w:hAnsi="Source Sans Pro"/>
                <w:sz w:val="18"/>
                <w:szCs w:val="18"/>
              </w:rPr>
              <w:t>Workforce risk, awareness, conduct</w:t>
            </w:r>
          </w:p>
        </w:tc>
        <w:tc>
          <w:tcPr>
            <w:tcW w:w="1900" w:type="dxa"/>
            <w:tcBorders/>
            <w:shd w:val="clear" w:color="auto" w:fill="auto"/>
            <w:tcMar>
              <w:top w:w="80" w:type="dxa"/>
              <w:left w:w="100" w:type="dxa"/>
              <w:bottom w:w="80" w:type="dxa"/>
              <w:right w:w="100" w:type="dxa"/>
            </w:tcMar>
            <w:vAlign w:val="center"/>
          </w:tcPr>
          <w:p w14:paraId="43FE7878">
            <w:pPr>
              <w:pStyle w:val="style0"/>
              <w:spacing w:lineRule="auto" w:line="420"/>
              <w:rPr>
                <w:rFonts w:ascii="RobotoStatic" w:cs="Zawgyi-One" w:hAnsi="Source Sans Pro"/>
              </w:rPr>
            </w:pPr>
            <w:r>
              <w:rPr>
                <w:rFonts w:ascii="RobotoStatic" w:cs="Zawgyi-One" w:hAnsi="Source Sans Pro"/>
                <w:sz w:val="18"/>
                <w:szCs w:val="18"/>
              </w:rPr>
              <w:t>Access-change triggers, awareness completion data, policy breaches</w:t>
            </w:r>
          </w:p>
        </w:tc>
        <w:tc>
          <w:tcPr>
            <w:tcW w:w="2160" w:type="dxa"/>
            <w:tcBorders/>
            <w:shd w:val="clear" w:color="auto" w:fill="auto"/>
            <w:tcMar>
              <w:top w:w="80" w:type="dxa"/>
              <w:left w:w="100" w:type="dxa"/>
              <w:bottom w:w="80" w:type="dxa"/>
              <w:right w:w="100" w:type="dxa"/>
            </w:tcMar>
            <w:vAlign w:val="center"/>
          </w:tcPr>
          <w:p w14:paraId="5D17314A">
            <w:pPr>
              <w:pStyle w:val="style0"/>
              <w:spacing w:lineRule="auto" w:line="420"/>
              <w:rPr>
                <w:rFonts w:ascii="RobotoStatic" w:cs="Zawgyi-One" w:hAnsi="Source Sans Pro"/>
              </w:rPr>
            </w:pPr>
            <w:r>
              <w:rPr>
                <w:rFonts w:ascii="RobotoStatic" w:cs="Zawgyi-One" w:hAnsi="Source Sans Pro"/>
                <w:sz w:val="18"/>
                <w:szCs w:val="18"/>
              </w:rPr>
              <w:t>Executes access lifecycle controls; runs awareness programme; manages conduct issues</w:t>
            </w:r>
          </w:p>
        </w:tc>
      </w:tr>
      <w:tr w14:paraId="5CEBEDE1">
        <w:tblPrEx/>
        <w:trPr/>
        <w:tc>
          <w:tcPr>
            <w:tcW w:w="1500" w:type="dxa"/>
            <w:tcBorders/>
            <w:shd w:val="clear" w:color="auto" w:fill="auto"/>
            <w:tcMar>
              <w:top w:w="80" w:type="dxa"/>
              <w:left w:w="100" w:type="dxa"/>
              <w:bottom w:w="80" w:type="dxa"/>
              <w:right w:w="100" w:type="dxa"/>
            </w:tcMar>
            <w:vAlign w:val="center"/>
          </w:tcPr>
          <w:p w14:paraId="4C3662B5">
            <w:pPr>
              <w:pStyle w:val="style0"/>
              <w:spacing w:lineRule="auto" w:line="420"/>
              <w:rPr>
                <w:rFonts w:ascii="RobotoStatic" w:cs="Zawgyi-One" w:hAnsi="Source Sans Pro"/>
              </w:rPr>
            </w:pPr>
            <w:r>
              <w:rPr>
                <w:rFonts w:ascii="RobotoStatic" w:cs="Zawgyi-One" w:hAnsi="Source Sans Pro"/>
                <w:sz w:val="18"/>
                <w:szCs w:val="18"/>
              </w:rPr>
              <w:t>IT / Technology</w:t>
            </w:r>
          </w:p>
        </w:tc>
        <w:tc>
          <w:tcPr>
            <w:tcW w:w="1900" w:type="dxa"/>
            <w:tcBorders/>
            <w:shd w:val="clear" w:color="auto" w:fill="auto"/>
            <w:tcMar>
              <w:top w:w="80" w:type="dxa"/>
              <w:left w:w="100" w:type="dxa"/>
              <w:bottom w:w="80" w:type="dxa"/>
              <w:right w:w="100" w:type="dxa"/>
            </w:tcMar>
            <w:vAlign w:val="center"/>
          </w:tcPr>
          <w:p w14:paraId="A6F699EF">
            <w:pPr>
              <w:pStyle w:val="style0"/>
              <w:spacing w:lineRule="auto" w:line="420"/>
              <w:rPr>
                <w:rFonts w:ascii="RobotoStatic" w:cs="Zawgyi-One" w:hAnsi="Source Sans Pro"/>
              </w:rPr>
            </w:pPr>
            <w:r>
              <w:rPr>
                <w:rFonts w:ascii="RobotoStatic" w:cs="Zawgyi-One" w:hAnsi="Source Sans Pro"/>
                <w:sz w:val="18"/>
                <w:szCs w:val="18"/>
              </w:rPr>
              <w:t>Operates and implements technical controls and infrastructure</w:t>
            </w:r>
          </w:p>
        </w:tc>
        <w:tc>
          <w:tcPr>
            <w:tcW w:w="1900" w:type="dxa"/>
            <w:tcBorders/>
            <w:shd w:val="clear" w:color="auto" w:fill="auto"/>
            <w:tcMar>
              <w:top w:w="80" w:type="dxa"/>
              <w:left w:w="100" w:type="dxa"/>
              <w:bottom w:w="80" w:type="dxa"/>
              <w:right w:w="100" w:type="dxa"/>
            </w:tcMar>
            <w:vAlign w:val="center"/>
          </w:tcPr>
          <w:p w14:paraId="231FBE06">
            <w:pPr>
              <w:pStyle w:val="style0"/>
              <w:spacing w:lineRule="auto" w:line="420"/>
              <w:rPr>
                <w:rFonts w:ascii="RobotoStatic" w:cs="Zawgyi-One" w:hAnsi="Source Sans Pro"/>
              </w:rPr>
            </w:pPr>
            <w:r>
              <w:rPr>
                <w:rFonts w:ascii="RobotoStatic" w:cs="Zawgyi-One" w:hAnsi="Source Sans Pro"/>
                <w:sz w:val="18"/>
                <w:szCs w:val="18"/>
              </w:rPr>
              <w:t>Service continuity, technical feasibility, operational load</w:t>
            </w:r>
          </w:p>
        </w:tc>
        <w:tc>
          <w:tcPr>
            <w:tcW w:w="1900" w:type="dxa"/>
            <w:tcBorders/>
            <w:shd w:val="clear" w:color="auto" w:fill="auto"/>
            <w:tcMar>
              <w:top w:w="80" w:type="dxa"/>
              <w:left w:w="100" w:type="dxa"/>
              <w:bottom w:w="80" w:type="dxa"/>
              <w:right w:w="100" w:type="dxa"/>
            </w:tcMar>
            <w:vAlign w:val="center"/>
          </w:tcPr>
          <w:p w14:paraId="AD6B9FD2">
            <w:pPr>
              <w:pStyle w:val="style0"/>
              <w:spacing w:lineRule="auto" w:line="420"/>
              <w:rPr>
                <w:rFonts w:ascii="RobotoStatic" w:cs="Zawgyi-One" w:hAnsi="Source Sans Pro"/>
              </w:rPr>
            </w:pPr>
            <w:r>
              <w:rPr>
                <w:rFonts w:ascii="RobotoStatic" w:cs="Zawgyi-One" w:hAnsi="Source Sans Pro"/>
                <w:sz w:val="18"/>
                <w:szCs w:val="18"/>
              </w:rPr>
              <w:t>Approved architecture standards, patch/vulnerability data</w:t>
            </w:r>
          </w:p>
        </w:tc>
        <w:tc>
          <w:tcPr>
            <w:tcW w:w="2160" w:type="dxa"/>
            <w:tcBorders/>
            <w:shd w:val="clear" w:color="auto" w:fill="auto"/>
            <w:tcMar>
              <w:top w:w="80" w:type="dxa"/>
              <w:left w:w="100" w:type="dxa"/>
              <w:bottom w:w="80" w:type="dxa"/>
              <w:right w:w="100" w:type="dxa"/>
            </w:tcMar>
            <w:vAlign w:val="center"/>
          </w:tcPr>
          <w:p w14:paraId="9258B564">
            <w:pPr>
              <w:pStyle w:val="style0"/>
              <w:spacing w:lineRule="auto" w:line="420"/>
              <w:rPr>
                <w:rFonts w:ascii="RobotoStatic" w:cs="Zawgyi-One" w:hAnsi="Source Sans Pro"/>
              </w:rPr>
            </w:pPr>
            <w:r>
              <w:rPr>
                <w:rFonts w:ascii="RobotoStatic" w:cs="Zawgyi-One" w:hAnsi="Source Sans Pro"/>
                <w:sz w:val="18"/>
                <w:szCs w:val="18"/>
              </w:rPr>
              <w:t>Implements controls under CISO-set policy; first responder for operational incidents</w:t>
            </w:r>
          </w:p>
        </w:tc>
      </w:tr>
      <w:tr w14:paraId="8FFB765A">
        <w:tblPrEx/>
        <w:trPr/>
        <w:tc>
          <w:tcPr>
            <w:tcW w:w="1500" w:type="dxa"/>
            <w:tcBorders/>
            <w:shd w:val="clear" w:color="auto" w:fill="auto"/>
            <w:tcMar>
              <w:top w:w="80" w:type="dxa"/>
              <w:left w:w="100" w:type="dxa"/>
              <w:bottom w:w="80" w:type="dxa"/>
              <w:right w:w="100" w:type="dxa"/>
            </w:tcMar>
            <w:vAlign w:val="center"/>
          </w:tcPr>
          <w:p w14:paraId="78C6D7F6">
            <w:pPr>
              <w:pStyle w:val="style0"/>
              <w:spacing w:lineRule="auto" w:line="420"/>
              <w:rPr>
                <w:rFonts w:ascii="RobotoStatic" w:cs="Zawgyi-One" w:hAnsi="Source Sans Pro"/>
              </w:rPr>
            </w:pPr>
            <w:r>
              <w:rPr>
                <w:rFonts w:ascii="RobotoStatic" w:cs="Zawgyi-One" w:hAnsi="Source Sans Pro"/>
                <w:sz w:val="18"/>
                <w:szCs w:val="18"/>
              </w:rPr>
              <w:t>Business Unit Leaders</w:t>
            </w:r>
          </w:p>
        </w:tc>
        <w:tc>
          <w:tcPr>
            <w:tcW w:w="1900" w:type="dxa"/>
            <w:tcBorders/>
            <w:shd w:val="clear" w:color="auto" w:fill="auto"/>
            <w:tcMar>
              <w:top w:w="80" w:type="dxa"/>
              <w:left w:w="100" w:type="dxa"/>
              <w:bottom w:w="80" w:type="dxa"/>
              <w:right w:w="100" w:type="dxa"/>
            </w:tcMar>
            <w:vAlign w:val="center"/>
          </w:tcPr>
          <w:p w14:paraId="F77FC509">
            <w:pPr>
              <w:pStyle w:val="style0"/>
              <w:spacing w:lineRule="auto" w:line="420"/>
              <w:rPr>
                <w:rFonts w:ascii="RobotoStatic" w:cs="Zawgyi-One" w:hAnsi="Source Sans Pro"/>
              </w:rPr>
            </w:pPr>
            <w:r>
              <w:rPr>
                <w:rFonts w:ascii="RobotoStatic" w:cs="Zawgyi-One" w:hAnsi="Source Sans Pro"/>
                <w:sz w:val="18"/>
                <w:szCs w:val="18"/>
              </w:rPr>
              <w:t>Local operational authority; accountable for local risk decisions within policy</w:t>
            </w:r>
          </w:p>
        </w:tc>
        <w:tc>
          <w:tcPr>
            <w:tcW w:w="1900" w:type="dxa"/>
            <w:tcBorders/>
            <w:shd w:val="clear" w:color="auto" w:fill="auto"/>
            <w:tcMar>
              <w:top w:w="80" w:type="dxa"/>
              <w:left w:w="100" w:type="dxa"/>
              <w:bottom w:w="80" w:type="dxa"/>
              <w:right w:w="100" w:type="dxa"/>
            </w:tcMar>
            <w:vAlign w:val="center"/>
          </w:tcPr>
          <w:p w14:paraId="97528FCF">
            <w:pPr>
              <w:pStyle w:val="style0"/>
              <w:spacing w:lineRule="auto" w:line="420"/>
              <w:rPr>
                <w:rFonts w:ascii="RobotoStatic" w:cs="Zawgyi-One" w:hAnsi="Source Sans Pro"/>
              </w:rPr>
            </w:pPr>
            <w:r>
              <w:rPr>
                <w:rFonts w:ascii="RobotoStatic" w:cs="Zawgyi-One" w:hAnsi="Source Sans Pro"/>
                <w:sz w:val="18"/>
                <w:szCs w:val="18"/>
              </w:rPr>
              <w:t>Business performance, minimal disruption to operations</w:t>
            </w:r>
          </w:p>
        </w:tc>
        <w:tc>
          <w:tcPr>
            <w:tcW w:w="1900" w:type="dxa"/>
            <w:tcBorders/>
            <w:shd w:val="clear" w:color="auto" w:fill="auto"/>
            <w:tcMar>
              <w:top w:w="80" w:type="dxa"/>
              <w:left w:w="100" w:type="dxa"/>
              <w:bottom w:w="80" w:type="dxa"/>
              <w:right w:w="100" w:type="dxa"/>
            </w:tcMar>
            <w:vAlign w:val="center"/>
          </w:tcPr>
          <w:p w14:paraId="E16E0862">
            <w:pPr>
              <w:pStyle w:val="style0"/>
              <w:spacing w:lineRule="auto" w:line="420"/>
              <w:rPr>
                <w:rFonts w:ascii="RobotoStatic" w:cs="Zawgyi-One" w:hAnsi="Source Sans Pro"/>
              </w:rPr>
            </w:pPr>
            <w:r>
              <w:rPr>
                <w:rFonts w:ascii="RobotoStatic" w:cs="Zawgyi-One" w:hAnsi="Source Sans Pro"/>
                <w:sz w:val="18"/>
                <w:szCs w:val="18"/>
              </w:rPr>
              <w:t>Applicable policy, local risk exposure, awareness completion for their teams</w:t>
            </w:r>
          </w:p>
        </w:tc>
        <w:tc>
          <w:tcPr>
            <w:tcW w:w="2160" w:type="dxa"/>
            <w:tcBorders/>
            <w:shd w:val="clear" w:color="auto" w:fill="auto"/>
            <w:tcMar>
              <w:top w:w="80" w:type="dxa"/>
              <w:left w:w="100" w:type="dxa"/>
              <w:bottom w:w="80" w:type="dxa"/>
              <w:right w:w="100" w:type="dxa"/>
            </w:tcMar>
            <w:vAlign w:val="center"/>
          </w:tcPr>
          <w:p w14:paraId="B9DABFAF">
            <w:pPr>
              <w:pStyle w:val="style0"/>
              <w:spacing w:lineRule="auto" w:line="420"/>
              <w:rPr>
                <w:rFonts w:ascii="RobotoStatic" w:cs="Zawgyi-One" w:hAnsi="Source Sans Pro"/>
              </w:rPr>
            </w:pPr>
            <w:r>
              <w:rPr>
                <w:rFonts w:ascii="RobotoStatic" w:cs="Zawgyi-One" w:hAnsi="Source Sans Pro"/>
                <w:sz w:val="18"/>
                <w:szCs w:val="18"/>
              </w:rPr>
              <w:t>Owns local control implementation; represents BU interests in governance forums</w:t>
            </w:r>
          </w:p>
        </w:tc>
      </w:tr>
    </w:tbl>
    <w:p w14:paraId="39651ABF">
      <w:pPr>
        <w:pStyle w:val="style2"/>
        <w:spacing w:before="280" w:after="140" w:lineRule="auto" w:line="420"/>
        <w:rPr>
          <w:rFonts w:ascii="RobotoStatic" w:cs="Zawgyi-One" w:hAnsi="Source Sans Pro"/>
          <w:color w:val="auto"/>
        </w:rPr>
      </w:pPr>
      <w:r>
        <w:rPr>
          <w:rFonts w:ascii="RobotoStatic" w:cs="Zawgyi-One" w:hAnsi="Source Sans Pro"/>
          <w:b/>
          <w:bCs/>
          <w:color w:val="auto"/>
          <w:sz w:val="24"/>
          <w:szCs w:val="24"/>
        </w:rPr>
        <w:t>1.3 Security Governance Organisation Chart</w:t>
      </w:r>
    </w:p>
    <w:p w14:paraId="415272B2">
      <w:pPr>
        <w:pStyle w:val="style0"/>
        <w:spacing w:after="160" w:lineRule="auto" w:line="420"/>
        <w:rPr>
          <w:rFonts w:ascii="RobotoStatic" w:cs="Zawgyi-One" w:hAnsi="Source Sans Pro"/>
        </w:rPr>
      </w:pPr>
      <w:r>
        <w:rPr>
          <w:rFonts w:ascii="RobotoStatic" w:cs="Zawgyi-One" w:hAnsi="Source Sans Pro"/>
          <w:sz w:val="21"/>
          <w:szCs w:val="21"/>
        </w:rPr>
        <w:t>The organisation chart below shows reporting lines, oversight relationships and communication paths for the redesigned model. Solid lines indicate direct reporting/oversight; dashed lines indicate independent assurance reporting.</w:t>
      </w:r>
    </w:p>
    <w:p w14:paraId="CD236CB1">
      <w:pPr>
        <w:pStyle w:val="style0"/>
        <w:spacing w:before="120" w:after="120" w:lineRule="auto" w:line="420"/>
        <w:jc w:val="center"/>
        <w:rPr>
          <w:rFonts w:ascii="RobotoStatic" w:cs="Zawgyi-One" w:hAnsi="Source Sans Pro"/>
        </w:rPr>
      </w:pPr>
      <w:r>
        <w:rPr>
          <w:rFonts w:ascii="RobotoStatic" w:cs="Zawgyi-One" w:hAnsi="Source Sans Pro"/>
          <w:noProof/>
        </w:rPr>
        <w:drawing>
          <wp:inline distL="0" distT="0" distB="0" distR="0">
            <wp:extent cx="5905500" cy="3809999"/>
            <wp:effectExtent l="0" t="0" r="0" b="0"/>
            <wp:docPr id="1026" name="Picture 1"/>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2" cstate="print"/>
                    <a:srcRect l="0" t="0" r="0" b="0"/>
                    <a:stretch/>
                  </pic:blipFill>
                  <pic:spPr>
                    <a:xfrm rot="0">
                      <a:off x="0" y="0"/>
                      <a:ext cx="5905500" cy="3809999"/>
                    </a:xfrm>
                    <a:prstGeom prst="rect"/>
                  </pic:spPr>
                </pic:pic>
              </a:graphicData>
            </a:graphic>
          </wp:inline>
        </w:drawing>
      </w:r>
    </w:p>
    <w:p w14:paraId="C243C285">
      <w:pPr>
        <w:pStyle w:val="style0"/>
        <w:spacing w:after="240" w:lineRule="auto" w:line="420"/>
        <w:jc w:val="center"/>
        <w:rPr>
          <w:rFonts w:ascii="RobotoStatic" w:cs="Zawgyi-One" w:hAnsi="Source Sans Pro"/>
        </w:rPr>
      </w:pPr>
      <w:r>
        <w:rPr>
          <w:rFonts w:ascii="RobotoStatic" w:cs="Zawgyi-One" w:hAnsi="Source Sans Pro"/>
          <w:i/>
          <w:iCs/>
          <w:sz w:val="18"/>
          <w:szCs w:val="18"/>
        </w:rPr>
        <w:t xml:space="preserve">Figure 1 </w:t>
      </w:r>
      <w:r>
        <w:rPr>
          <w:rFonts w:ascii="RobotoStatic" w:cs="Calibri" w:hAnsi="Calibri"/>
          <w:i/>
          <w:iCs/>
          <w:sz w:val="18"/>
          <w:szCs w:val="18"/>
        </w:rPr>
        <w:t>—</w:t>
      </w:r>
      <w:r>
        <w:rPr>
          <w:rFonts w:ascii="RobotoStatic" w:cs="Zawgyi-One" w:hAnsi="Source Sans Pro"/>
          <w:i/>
          <w:iCs/>
          <w:sz w:val="18"/>
          <w:szCs w:val="18"/>
        </w:rPr>
        <w:t xml:space="preserve"> TechGlobal Security Governance Organisation Chart</w:t>
      </w:r>
    </w:p>
    <w:p w14:paraId="F677F037">
      <w:pPr>
        <w:pStyle w:val="style2"/>
        <w:spacing w:before="280" w:after="140" w:lineRule="auto" w:line="420"/>
        <w:rPr>
          <w:rFonts w:ascii="RobotoStatic" w:cs="Zawgyi-One" w:hAnsi="Source Sans Pro"/>
          <w:color w:val="auto"/>
        </w:rPr>
      </w:pPr>
      <w:r>
        <w:rPr>
          <w:rFonts w:ascii="RobotoStatic" w:cs="Zawgyi-One" w:hAnsi="Source Sans Pro"/>
          <w:b/>
          <w:bCs/>
          <w:color w:val="auto"/>
          <w:sz w:val="24"/>
          <w:szCs w:val="24"/>
        </w:rPr>
        <w:t>1.4 Consultant Justification</w:t>
      </w:r>
    </w:p>
    <w:p w14:paraId="0C52DC8E">
      <w:pPr>
        <w:pStyle w:val="style0"/>
        <w:spacing w:after="160" w:lineRule="auto" w:line="420"/>
        <w:rPr>
          <w:rFonts w:ascii="RobotoStatic" w:cs="Zawgyi-One" w:hAnsi="Source Sans Pro"/>
        </w:rPr>
      </w:pPr>
      <w:r>
        <w:rPr>
          <w:rFonts w:ascii="RobotoStatic" w:cs="Zawgyi-One" w:hAnsi="Source Sans Pro"/>
          <w:sz w:val="21"/>
          <w:szCs w:val="21"/>
        </w:rPr>
        <w:t>The proposed structure introduces four elements the current model lacks: a Board-level oversight point, a cross-functional executive forum, a standing cross-functional committee below it, and an independent assurance line. Each is justified below against TechGlobal's scale and current weaknesses.</w:t>
      </w:r>
    </w:p>
    <w:p w14:paraId="03AE2D66">
      <w:pPr>
        <w:pStyle w:val="style3"/>
        <w:spacing w:before="200" w:after="100" w:lineRule="auto" w:line="420"/>
        <w:rPr>
          <w:rFonts w:ascii="RobotoStatic" w:cs="Zawgyi-One" w:hAnsi="Source Sans Pro"/>
          <w:color w:val="auto"/>
        </w:rPr>
      </w:pPr>
      <w:r>
        <w:rPr>
          <w:rFonts w:ascii="RobotoStatic" w:cs="Zawgyi-One" w:hAnsi="Source Sans Pro"/>
          <w:b/>
          <w:bCs/>
          <w:color w:val="auto"/>
          <w:sz w:val="21"/>
          <w:szCs w:val="21"/>
        </w:rPr>
        <w:t>A three-tier decision structure replaces single-person authority</w:t>
      </w:r>
    </w:p>
    <w:p w14:paraId="AF381BF3">
      <w:pPr>
        <w:pStyle w:val="style0"/>
        <w:spacing w:after="160" w:lineRule="auto" w:line="420"/>
        <w:rPr>
          <w:rFonts w:ascii="RobotoStatic" w:cs="Zawgyi-One" w:hAnsi="Source Sans Pro"/>
        </w:rPr>
      </w:pPr>
      <w:r>
        <w:rPr>
          <w:rFonts w:ascii="RobotoStatic" w:cs="Zawgyi-One" w:hAnsi="Source Sans Pro"/>
          <w:sz w:val="21"/>
          <w:szCs w:val="21"/>
        </w:rPr>
        <w:t>The Board Risk &amp; Audit Committee sets risk appetite and receives material risk for decision; the Executive Security Council (CEO, CISO, CRO, Legal, Finance, HR) sets strategic direction and approves investment; and the Security Governance/Steering Committee, chaired by the CISO with cross-functional membership, makes the operational governance decisions the IT Director currently makes alone. This directly resolves Weakness 1: no single role can both set and approve its own risk posture, because risk assessment (CISO), risk acceptance (CRO or higher, depending on materiality) and implementation (IT) are now held by different accountable parties.</w:t>
      </w:r>
    </w:p>
    <w:p w14:paraId="FA8E8524">
      <w:pPr>
        <w:pStyle w:val="style3"/>
        <w:spacing w:before="200" w:after="100" w:lineRule="auto" w:line="420"/>
        <w:rPr>
          <w:rFonts w:ascii="RobotoStatic" w:cs="Zawgyi-One" w:hAnsi="Source Sans Pro"/>
          <w:color w:val="auto"/>
        </w:rPr>
      </w:pPr>
      <w:r>
        <w:rPr>
          <w:rFonts w:ascii="RobotoStatic" w:cs="Zawgyi-One" w:hAnsi="Source Sans Pro"/>
          <w:b/>
          <w:bCs/>
          <w:color w:val="auto"/>
          <w:sz w:val="21"/>
          <w:szCs w:val="21"/>
        </w:rPr>
        <w:t>A standing committee structure closes the coordination gap</w:t>
      </w:r>
    </w:p>
    <w:p w14:paraId="F9D272F0">
      <w:pPr>
        <w:pStyle w:val="style0"/>
        <w:spacing w:after="160" w:lineRule="auto" w:line="420"/>
        <w:rPr>
          <w:rFonts w:ascii="RobotoStatic" w:cs="Zawgyi-One" w:hAnsi="Source Sans Pro"/>
        </w:rPr>
      </w:pPr>
      <w:r>
        <w:rPr>
          <w:rFonts w:ascii="RobotoStatic" w:cs="Zawgyi-One" w:hAnsi="Source Sans Pro"/>
          <w:sz w:val="21"/>
          <w:szCs w:val="21"/>
        </w:rPr>
        <w:t>Because TechGlobal is spread across five offices with inconsistent practices (Weakness 3), a monthly Steering Committee with Business Unit representation gives every office a forum through which local risk issues reach a single governance point, rather than being resolved five different ways. Working Groups for Incident Response, Cloud Security and Third-Party Risk allow specialist decisions to be made quickly without overloading the main committee, while still reporting into it.</w:t>
      </w:r>
    </w:p>
    <w:p w14:paraId="719DB787">
      <w:pPr>
        <w:pStyle w:val="style3"/>
        <w:spacing w:before="200" w:after="100" w:lineRule="auto" w:line="420"/>
        <w:rPr>
          <w:rFonts w:ascii="RobotoStatic" w:cs="Zawgyi-One" w:hAnsi="Source Sans Pro"/>
          <w:color w:val="auto"/>
        </w:rPr>
      </w:pPr>
      <w:r>
        <w:rPr>
          <w:rFonts w:ascii="RobotoStatic" w:cs="Zawgyi-One" w:hAnsi="Source Sans Pro"/>
          <w:b/>
          <w:bCs/>
          <w:color w:val="auto"/>
          <w:sz w:val="21"/>
          <w:szCs w:val="21"/>
        </w:rPr>
        <w:t>Formal reporting lines restore Board and CEO visibility</w:t>
      </w:r>
    </w:p>
    <w:p w14:paraId="F2551E43">
      <w:pPr>
        <w:pStyle w:val="style0"/>
        <w:spacing w:after="160" w:lineRule="auto" w:line="420"/>
        <w:rPr>
          <w:rFonts w:ascii="RobotoStatic" w:cs="Zawgyi-One" w:hAnsi="Source Sans Pro"/>
        </w:rPr>
      </w:pPr>
      <w:r>
        <w:rPr>
          <w:rFonts w:ascii="RobotoStatic" w:cs="Zawgyi-One" w:hAnsi="Source Sans Pro"/>
          <w:sz w:val="21"/>
          <w:szCs w:val="21"/>
        </w:rPr>
        <w:t>A quarterly cadence from the CISO through the Executive Security Council to the Board Risk &amp; Audit Committee (Weakness 4), combined with the escalation workflow developed in Task 5 (Weakness 5), ensures that material risk reaches decision-makers on a predictable timetable rather than only when an incident forces disclosure.</w:t>
      </w:r>
    </w:p>
    <w:p w14:paraId="D9BC8C5E">
      <w:pPr>
        <w:pStyle w:val="style3"/>
        <w:spacing w:before="200" w:after="100" w:lineRule="auto" w:line="420"/>
        <w:rPr>
          <w:rFonts w:ascii="RobotoStatic" w:cs="Zawgyi-One" w:hAnsi="Source Sans Pro"/>
          <w:color w:val="auto"/>
        </w:rPr>
      </w:pPr>
      <w:r>
        <w:rPr>
          <w:rFonts w:ascii="RobotoStatic" w:cs="Zawgyi-One" w:hAnsi="Source Sans Pro"/>
          <w:b/>
          <w:bCs/>
          <w:color w:val="auto"/>
          <w:sz w:val="21"/>
          <w:szCs w:val="21"/>
        </w:rPr>
        <w:t>An independent assurance line closes the self-review gap</w:t>
      </w:r>
    </w:p>
    <w:p w14:paraId="F977B8A8">
      <w:pPr>
        <w:pStyle w:val="style0"/>
        <w:spacing w:after="160" w:lineRule="auto" w:line="420"/>
        <w:rPr>
          <w:rFonts w:ascii="RobotoStatic" w:cs="Zawgyi-One" w:hAnsi="Source Sans Pro"/>
        </w:rPr>
      </w:pPr>
      <w:r>
        <w:rPr>
          <w:rFonts w:ascii="RobotoStatic" w:cs="Zawgyi-One" w:hAnsi="Source Sans Pro"/>
          <w:sz w:val="21"/>
          <w:szCs w:val="21"/>
        </w:rPr>
        <w:t>Internal Audit is shown reporting to the Board and providing findings to the Executive Security Council, consistent with the Three Lines Model referenced in TechGlobal's governance frameworks: IT and business units form the first line (owning and operating controls), the CISO and CRO form the second line (setting policy and monitoring risk), and Internal Audit forms the third line (providing independent assurance that the first two lines are functioning). This is the structural answer to the additional observation in Section 1.1.</w:t>
      </w:r>
    </w:p>
    <w:p w14:paraId="5A75BE9B">
      <w:pPr>
        <w:pStyle w:val="style3"/>
        <w:spacing w:before="200" w:after="100" w:lineRule="auto" w:line="420"/>
        <w:rPr>
          <w:rFonts w:ascii="RobotoStatic" w:cs="Zawgyi-One" w:hAnsi="Source Sans Pro"/>
          <w:color w:val="auto"/>
        </w:rPr>
      </w:pPr>
      <w:r>
        <w:rPr>
          <w:rFonts w:ascii="RobotoStatic" w:cs="Zawgyi-One" w:hAnsi="Source Sans Pro"/>
          <w:b/>
          <w:bCs/>
          <w:color w:val="auto"/>
          <w:sz w:val="21"/>
          <w:szCs w:val="21"/>
        </w:rPr>
        <w:t>Why this is proportionate for a 2,500-employee, five-office organisation</w:t>
      </w:r>
    </w:p>
    <w:p w14:paraId="FF6F89E5">
      <w:pPr>
        <w:pStyle w:val="style0"/>
        <w:spacing w:after="160" w:lineRule="auto" w:line="420"/>
        <w:rPr>
          <w:rFonts w:ascii="RobotoStatic" w:cs="Zawgyi-One" w:hAnsi="Source Sans Pro"/>
          <w:sz w:val="21"/>
          <w:szCs w:val="21"/>
        </w:rPr>
      </w:pPr>
      <w:r>
        <w:rPr>
          <w:rFonts w:ascii="RobotoStatic" w:cs="Zawgyi-One" w:hAnsi="Source Sans Pro"/>
          <w:sz w:val="21"/>
          <w:szCs w:val="21"/>
        </w:rPr>
        <w:t>The structure avoids two failure modes common at this scale: under-governance, where a single technical role continues to carry disproportionate authority as the organisation grows past the point where informal coordination works; and over-governance, where a large bureaucracy of committees slows every decision. A quarterly Board/Council cadence, a monthly Steering Committee, and Working Groups that meet monthly or on activation keep decision-making proportionate to TechGlobal's size, while the Business Unit Security Forum gives each of the five offices a named channel into governance without creating five separate security functions.</w:t>
      </w:r>
    </w:p>
    <w:p w14:paraId="EB4F88F1">
      <w:pPr>
        <w:pStyle w:val="style0"/>
        <w:spacing w:after="160" w:lineRule="auto" w:line="420"/>
        <w:rPr>
          <w:rFonts w:ascii="RobotoStatic" w:cs="Zawgyi-One" w:hAnsi="Source Sans Pro"/>
          <w:color w:val="auto"/>
        </w:rPr>
      </w:pPr>
    </w:p>
    <w:p w14:paraId="684C1952">
      <w:pPr>
        <w:pStyle w:val="style0"/>
        <w:spacing w:after="160" w:lineRule="auto" w:line="420"/>
        <w:rPr>
          <w:rFonts w:ascii="RobotoStatic" w:cs="Zawgyi-One" w:hAnsi="Source Sans Pro"/>
          <w:b/>
          <w:bCs/>
          <w:sz w:val="22"/>
          <w:szCs w:val="22"/>
        </w:rPr>
      </w:pPr>
      <w:r>
        <w:rPr>
          <w:rFonts w:ascii="RobotoStatic" w:cs="Zawgyi-One" w:hAnsi="Source Sans Pro"/>
          <w:b/>
          <w:bCs/>
          <w:sz w:val="22"/>
          <w:szCs w:val="22"/>
          <w:lang w:val="en-US"/>
        </w:rPr>
        <w:t xml:space="preserve">TASK 2: GOVERNANCE RESPONSIBILITY AND AUTHORITY MATRIX </w:t>
      </w:r>
    </w:p>
    <w:p w14:paraId="5A3F8CD2">
      <w:pPr>
        <w:pStyle w:val="style2"/>
        <w:spacing w:before="280" w:after="140" w:lineRule="auto" w:line="420"/>
        <w:rPr>
          <w:rFonts w:ascii="RobotoStatic" w:cs="Zawgyi-One" w:hAnsi="Source Sans Pro"/>
          <w:color w:val="auto"/>
        </w:rPr>
      </w:pPr>
      <w:r>
        <w:rPr>
          <w:rFonts w:ascii="RobotoStatic" w:cs="Zawgyi-One" w:hAnsi="Source Sans Pro"/>
          <w:b/>
          <w:bCs/>
          <w:color w:val="auto"/>
          <w:sz w:val="24"/>
          <w:szCs w:val="24"/>
        </w:rPr>
        <w:t>2.1 Cross-Functional Governance Responsibility Matrix</w:t>
      </w:r>
    </w:p>
    <w:p w14:paraId="6B4E5929">
      <w:pPr>
        <w:pStyle w:val="style0"/>
        <w:spacing w:after="160" w:lineRule="auto" w:line="420"/>
        <w:rPr>
          <w:rFonts w:ascii="RobotoStatic" w:cs="Zawgyi-One" w:hAnsi="Source Sans Pro"/>
        </w:rPr>
      </w:pPr>
      <w:r>
        <w:rPr>
          <w:rFonts w:ascii="RobotoStatic" w:cs="Zawgyi-One" w:hAnsi="Source Sans Pro"/>
          <w:sz w:val="21"/>
          <w:szCs w:val="21"/>
        </w:rPr>
        <w:t xml:space="preserve">The matrix below defines, for each of the eight core governance roles, the purpose of the role, core responsibilities, decision authority, reporting/escalation line, and key performance indicators </w:t>
      </w:r>
      <w:r>
        <w:rPr>
          <w:rFonts w:ascii="RobotoStatic" w:cs="Calibri" w:hAnsi="Calibri"/>
          <w:sz w:val="21"/>
          <w:szCs w:val="21"/>
        </w:rPr>
        <w:t>—</w:t>
      </w:r>
      <w:r>
        <w:rPr>
          <w:rFonts w:ascii="RobotoStatic" w:cs="Zawgyi-One" w:hAnsi="Source Sans Pro"/>
          <w:sz w:val="21"/>
          <w:szCs w:val="21"/>
        </w:rPr>
        <w:t xml:space="preserve"> expanding the Appendix B template.</w:t>
      </w:r>
    </w:p>
    <w:tbl>
      <w:tblPr>
        <w:tblW w:w="9360" w:type="dxa"/>
        <w:tblInd w:w="-15" w:type="dxa"/>
        <w:tblBorders>
          <w:top w:val="single" w:sz="4" w:space="0" w:color="b9c4ce"/>
          <w:left w:val="single" w:sz="4" w:space="0" w:color="b9c4ce"/>
          <w:bottom w:val="single" w:sz="4" w:space="0" w:color="b9c4ce"/>
          <w:right w:val="single" w:sz="4" w:space="0" w:color="b9c4ce"/>
          <w:insideH w:val="single" w:sz="4" w:space="0" w:color="b9c4ce"/>
          <w:insideV w:val="single" w:sz="4" w:space="0" w:color="b9c4ce"/>
        </w:tblBorders>
        <w:tblCellMar>
          <w:top w:w="0" w:type="dxa"/>
          <w:bottom w:w="0" w:type="dxa"/>
        </w:tblCellMar>
        <w:tblLook w:val="04A0" w:firstRow="1" w:lastRow="0" w:firstColumn="1" w:lastColumn="0" w:noHBand="0" w:noVBand="1"/>
      </w:tblPr>
      <w:tblGrid>
        <w:gridCol w:w="1154"/>
        <w:gridCol w:w="1323"/>
        <w:gridCol w:w="1892"/>
        <w:gridCol w:w="1397"/>
        <w:gridCol w:w="2131"/>
        <w:gridCol w:w="1698"/>
      </w:tblGrid>
      <w:tr w14:paraId="7859D906">
        <w:trPr>
          <w:tblHeader/>
        </w:trPr>
        <w:tc>
          <w:tcPr>
            <w:tcW w:w="1000" w:type="dxa"/>
            <w:tcBorders/>
            <w:shd w:val="clear" w:color="auto" w:fill="auto"/>
            <w:tcMar>
              <w:top w:w="80" w:type="dxa"/>
              <w:left w:w="100" w:type="dxa"/>
              <w:bottom w:w="80" w:type="dxa"/>
              <w:right w:w="100" w:type="dxa"/>
            </w:tcMar>
            <w:vAlign w:val="center"/>
          </w:tcPr>
          <w:p w14:paraId="892E130B">
            <w:pPr>
              <w:pStyle w:val="style0"/>
              <w:spacing w:lineRule="auto" w:line="420"/>
              <w:jc w:val="center"/>
              <w:rPr>
                <w:rFonts w:ascii="RobotoStatic" w:cs="Zawgyi-One" w:hAnsi="Source Sans Pro"/>
              </w:rPr>
            </w:pPr>
            <w:r>
              <w:rPr>
                <w:rFonts w:ascii="RobotoStatic" w:cs="Zawgyi-One" w:hAnsi="Source Sans Pro"/>
                <w:b/>
                <w:bCs/>
                <w:sz w:val="18"/>
                <w:szCs w:val="18"/>
              </w:rPr>
              <w:t>Role</w:t>
            </w:r>
          </w:p>
        </w:tc>
        <w:tc>
          <w:tcPr>
            <w:tcW w:w="1600" w:type="dxa"/>
            <w:tcBorders/>
            <w:shd w:val="clear" w:color="auto" w:fill="auto"/>
            <w:tcMar>
              <w:top w:w="80" w:type="dxa"/>
              <w:left w:w="100" w:type="dxa"/>
              <w:bottom w:w="80" w:type="dxa"/>
              <w:right w:w="100" w:type="dxa"/>
            </w:tcMar>
            <w:vAlign w:val="center"/>
          </w:tcPr>
          <w:p w14:paraId="5A657A03">
            <w:pPr>
              <w:pStyle w:val="style0"/>
              <w:spacing w:lineRule="auto" w:line="420"/>
              <w:jc w:val="center"/>
              <w:rPr>
                <w:rFonts w:ascii="RobotoStatic" w:cs="Zawgyi-One" w:hAnsi="Source Sans Pro"/>
              </w:rPr>
            </w:pPr>
            <w:r>
              <w:rPr>
                <w:rFonts w:ascii="RobotoStatic" w:cs="Zawgyi-One" w:hAnsi="Source Sans Pro"/>
                <w:b/>
                <w:bCs/>
                <w:sz w:val="18"/>
                <w:szCs w:val="18"/>
              </w:rPr>
              <w:t>Purpose</w:t>
            </w:r>
          </w:p>
        </w:tc>
        <w:tc>
          <w:tcPr>
            <w:tcW w:w="2260" w:type="dxa"/>
            <w:tcBorders/>
            <w:shd w:val="clear" w:color="auto" w:fill="auto"/>
            <w:tcMar>
              <w:top w:w="80" w:type="dxa"/>
              <w:left w:w="100" w:type="dxa"/>
              <w:bottom w:w="80" w:type="dxa"/>
              <w:right w:w="100" w:type="dxa"/>
            </w:tcMar>
            <w:vAlign w:val="center"/>
          </w:tcPr>
          <w:p w14:paraId="E1F737BB">
            <w:pPr>
              <w:pStyle w:val="style0"/>
              <w:spacing w:lineRule="auto" w:line="420"/>
              <w:jc w:val="center"/>
              <w:rPr>
                <w:rFonts w:ascii="RobotoStatic" w:cs="Zawgyi-One" w:hAnsi="Source Sans Pro"/>
              </w:rPr>
            </w:pPr>
            <w:r>
              <w:rPr>
                <w:rFonts w:ascii="RobotoStatic" w:cs="Zawgyi-One" w:hAnsi="Source Sans Pro"/>
                <w:b/>
                <w:bCs/>
                <w:sz w:val="18"/>
                <w:szCs w:val="18"/>
              </w:rPr>
              <w:t>Core Responsibilities</w:t>
            </w:r>
          </w:p>
        </w:tc>
        <w:tc>
          <w:tcPr>
            <w:tcW w:w="1700" w:type="dxa"/>
            <w:tcBorders/>
            <w:shd w:val="clear" w:color="auto" w:fill="auto"/>
            <w:tcMar>
              <w:top w:w="80" w:type="dxa"/>
              <w:left w:w="100" w:type="dxa"/>
              <w:bottom w:w="80" w:type="dxa"/>
              <w:right w:w="100" w:type="dxa"/>
            </w:tcMar>
            <w:vAlign w:val="center"/>
          </w:tcPr>
          <w:p w14:paraId="DE6FFEAB">
            <w:pPr>
              <w:pStyle w:val="style0"/>
              <w:spacing w:lineRule="auto" w:line="420"/>
              <w:jc w:val="center"/>
              <w:rPr>
                <w:rFonts w:ascii="RobotoStatic" w:cs="Zawgyi-One" w:hAnsi="Source Sans Pro"/>
              </w:rPr>
            </w:pPr>
            <w:r>
              <w:rPr>
                <w:rFonts w:ascii="RobotoStatic" w:cs="Zawgyi-One" w:hAnsi="Source Sans Pro"/>
                <w:b/>
                <w:bCs/>
                <w:sz w:val="18"/>
                <w:szCs w:val="18"/>
              </w:rPr>
              <w:t>Decision Authority</w:t>
            </w:r>
          </w:p>
        </w:tc>
        <w:tc>
          <w:tcPr>
            <w:tcW w:w="1300" w:type="dxa"/>
            <w:tcBorders/>
            <w:shd w:val="clear" w:color="auto" w:fill="auto"/>
            <w:tcMar>
              <w:top w:w="80" w:type="dxa"/>
              <w:left w:w="100" w:type="dxa"/>
              <w:bottom w:w="80" w:type="dxa"/>
              <w:right w:w="100" w:type="dxa"/>
            </w:tcMar>
            <w:vAlign w:val="center"/>
          </w:tcPr>
          <w:p w14:paraId="36AE9C9B">
            <w:pPr>
              <w:pStyle w:val="style0"/>
              <w:spacing w:lineRule="auto" w:line="420"/>
              <w:jc w:val="center"/>
              <w:rPr>
                <w:rFonts w:ascii="RobotoStatic" w:cs="Zawgyi-One" w:hAnsi="Source Sans Pro"/>
              </w:rPr>
            </w:pPr>
            <w:r>
              <w:rPr>
                <w:rFonts w:ascii="RobotoStatic" w:cs="Zawgyi-One" w:hAnsi="Source Sans Pro"/>
                <w:b/>
                <w:bCs/>
                <w:sz w:val="18"/>
                <w:szCs w:val="18"/>
              </w:rPr>
              <w:t>Reports / Escalates To</w:t>
            </w:r>
          </w:p>
        </w:tc>
        <w:tc>
          <w:tcPr>
            <w:tcW w:w="1500" w:type="dxa"/>
            <w:tcBorders/>
            <w:shd w:val="clear" w:color="auto" w:fill="auto"/>
            <w:tcMar>
              <w:top w:w="80" w:type="dxa"/>
              <w:left w:w="100" w:type="dxa"/>
              <w:bottom w:w="80" w:type="dxa"/>
              <w:right w:w="100" w:type="dxa"/>
            </w:tcMar>
            <w:vAlign w:val="center"/>
          </w:tcPr>
          <w:p w14:paraId="107A6087">
            <w:pPr>
              <w:pStyle w:val="style0"/>
              <w:spacing w:lineRule="auto" w:line="420"/>
              <w:jc w:val="center"/>
              <w:rPr>
                <w:rFonts w:ascii="RobotoStatic" w:cs="Zawgyi-One" w:hAnsi="Source Sans Pro"/>
              </w:rPr>
            </w:pPr>
            <w:r>
              <w:rPr>
                <w:rFonts w:ascii="RobotoStatic" w:cs="Zawgyi-One" w:hAnsi="Source Sans Pro"/>
                <w:b/>
                <w:bCs/>
                <w:sz w:val="18"/>
                <w:szCs w:val="18"/>
              </w:rPr>
              <w:t>KPIs / Evidence</w:t>
            </w:r>
          </w:p>
        </w:tc>
      </w:tr>
      <w:tr w14:paraId="12D2E946">
        <w:tblPrEx/>
        <w:trPr/>
        <w:tc>
          <w:tcPr>
            <w:tcW w:w="1000" w:type="dxa"/>
            <w:tcBorders/>
            <w:shd w:val="clear" w:color="auto" w:fill="auto"/>
            <w:tcMar>
              <w:top w:w="80" w:type="dxa"/>
              <w:left w:w="100" w:type="dxa"/>
              <w:bottom w:w="80" w:type="dxa"/>
              <w:right w:w="100" w:type="dxa"/>
            </w:tcMar>
            <w:vAlign w:val="center"/>
          </w:tcPr>
          <w:p w14:paraId="886C7ABF">
            <w:pPr>
              <w:pStyle w:val="style0"/>
              <w:spacing w:lineRule="auto" w:line="420"/>
              <w:rPr>
                <w:rFonts w:ascii="RobotoStatic" w:cs="Zawgyi-One" w:hAnsi="Source Sans Pro"/>
              </w:rPr>
            </w:pPr>
            <w:r>
              <w:rPr>
                <w:rFonts w:ascii="RobotoStatic" w:cs="Zawgyi-One" w:hAnsi="Source Sans Pro"/>
                <w:sz w:val="18"/>
                <w:szCs w:val="18"/>
              </w:rPr>
              <w:t>Board of Directors</w:t>
            </w:r>
          </w:p>
        </w:tc>
        <w:tc>
          <w:tcPr>
            <w:tcW w:w="1600" w:type="dxa"/>
            <w:tcBorders/>
            <w:shd w:val="clear" w:color="auto" w:fill="auto"/>
            <w:tcMar>
              <w:top w:w="80" w:type="dxa"/>
              <w:left w:w="100" w:type="dxa"/>
              <w:bottom w:w="80" w:type="dxa"/>
              <w:right w:w="100" w:type="dxa"/>
            </w:tcMar>
            <w:vAlign w:val="center"/>
          </w:tcPr>
          <w:p w14:paraId="5C471F97">
            <w:pPr>
              <w:pStyle w:val="style0"/>
              <w:spacing w:lineRule="auto" w:line="420"/>
              <w:rPr>
                <w:rFonts w:ascii="RobotoStatic" w:cs="Zawgyi-One" w:hAnsi="Source Sans Pro"/>
              </w:rPr>
            </w:pPr>
            <w:r>
              <w:rPr>
                <w:rFonts w:ascii="RobotoStatic" w:cs="Zawgyi-One" w:hAnsi="Source Sans Pro"/>
                <w:sz w:val="18"/>
                <w:szCs w:val="18"/>
              </w:rPr>
              <w:t>Provide ultimate oversight of cyber risk and hold executive management accountable for governance effectiveness.</w:t>
            </w:r>
          </w:p>
        </w:tc>
        <w:tc>
          <w:tcPr>
            <w:tcW w:w="2260" w:type="dxa"/>
            <w:tcBorders/>
            <w:shd w:val="clear" w:color="auto" w:fill="auto"/>
            <w:tcMar>
              <w:top w:w="80" w:type="dxa"/>
              <w:left w:w="100" w:type="dxa"/>
              <w:bottom w:w="80" w:type="dxa"/>
              <w:right w:w="100" w:type="dxa"/>
            </w:tcMar>
            <w:vAlign w:val="center"/>
          </w:tcPr>
          <w:p w14:paraId="DB64ADA1">
            <w:pPr>
              <w:pStyle w:val="style0"/>
              <w:spacing w:lineRule="auto" w:line="420"/>
              <w:rPr>
                <w:rFonts w:ascii="RobotoStatic" w:cs="Zawgyi-One" w:hAnsi="Source Sans Pro"/>
              </w:rPr>
            </w:pPr>
            <w:r>
              <w:rPr>
                <w:rFonts w:ascii="RobotoStatic" w:cs="Zawgyi-One" w:hAnsi="Source Sans Pro"/>
                <w:sz w:val="18"/>
                <w:szCs w:val="18"/>
              </w:rPr>
              <w:t>Approve enterprise risk appetite and tolerance for cyber risk; Review material cyber risk and incidents referred by the Executive Security Council; Hold the CEO and CISO accountable for programme effectiveness; Oversee regulatory and reputational exposure at the enterprise level</w:t>
            </w:r>
          </w:p>
        </w:tc>
        <w:tc>
          <w:tcPr>
            <w:tcW w:w="1700" w:type="dxa"/>
            <w:tcBorders/>
            <w:shd w:val="clear" w:color="auto" w:fill="auto"/>
            <w:tcMar>
              <w:top w:w="80" w:type="dxa"/>
              <w:left w:w="100" w:type="dxa"/>
              <w:bottom w:w="80" w:type="dxa"/>
              <w:right w:w="100" w:type="dxa"/>
            </w:tcMar>
            <w:vAlign w:val="center"/>
          </w:tcPr>
          <w:p w14:paraId="FAB8B4AC">
            <w:pPr>
              <w:pStyle w:val="style0"/>
              <w:spacing w:lineRule="auto" w:line="420"/>
              <w:rPr>
                <w:rFonts w:ascii="RobotoStatic" w:cs="Zawgyi-One" w:hAnsi="Source Sans Pro"/>
              </w:rPr>
            </w:pPr>
            <w:r>
              <w:rPr>
                <w:rFonts w:ascii="RobotoStatic" w:cs="Zawgyi-One" w:hAnsi="Source Sans Pro"/>
                <w:sz w:val="18"/>
                <w:szCs w:val="18"/>
              </w:rPr>
              <w:t>Approves risk appetite; ratifies material risk acceptance; approves security strategy at the highest level.</w:t>
            </w:r>
          </w:p>
        </w:tc>
        <w:tc>
          <w:tcPr>
            <w:tcW w:w="1300" w:type="dxa"/>
            <w:tcBorders/>
            <w:shd w:val="clear" w:color="auto" w:fill="auto"/>
            <w:tcMar>
              <w:top w:w="80" w:type="dxa"/>
              <w:left w:w="100" w:type="dxa"/>
              <w:bottom w:w="80" w:type="dxa"/>
              <w:right w:w="100" w:type="dxa"/>
            </w:tcMar>
            <w:vAlign w:val="center"/>
          </w:tcPr>
          <w:p w14:paraId="7F5F4A94">
            <w:pPr>
              <w:pStyle w:val="style0"/>
              <w:spacing w:lineRule="auto" w:line="420"/>
              <w:rPr>
                <w:rFonts w:ascii="RobotoStatic" w:cs="Zawgyi-One" w:hAnsi="Source Sans Pro"/>
              </w:rPr>
            </w:pPr>
            <w:r>
              <w:rPr>
                <w:rFonts w:ascii="RobotoStatic" w:cs="Zawgyi-One" w:hAnsi="Source Sans Pro"/>
                <w:sz w:val="18"/>
                <w:szCs w:val="18"/>
              </w:rPr>
              <w:t>Reports to shareholders/regulators</w:t>
            </w:r>
          </w:p>
        </w:tc>
        <w:tc>
          <w:tcPr>
            <w:tcW w:w="1500" w:type="dxa"/>
            <w:tcBorders/>
            <w:shd w:val="clear" w:color="auto" w:fill="auto"/>
            <w:tcMar>
              <w:top w:w="80" w:type="dxa"/>
              <w:left w:w="100" w:type="dxa"/>
              <w:bottom w:w="80" w:type="dxa"/>
              <w:right w:w="100" w:type="dxa"/>
            </w:tcMar>
            <w:vAlign w:val="center"/>
          </w:tcPr>
          <w:p w14:paraId="1B9FF3FF">
            <w:pPr>
              <w:pStyle w:val="style0"/>
              <w:spacing w:lineRule="auto" w:line="420"/>
              <w:rPr>
                <w:rFonts w:ascii="RobotoStatic" w:cs="Zawgyi-One" w:hAnsi="Source Sans Pro"/>
              </w:rPr>
            </w:pPr>
            <w:r>
              <w:rPr>
                <w:rFonts w:ascii="RobotoStatic" w:cs="Zawgyi-One" w:hAnsi="Source Sans Pro"/>
                <w:sz w:val="18"/>
                <w:szCs w:val="18"/>
              </w:rPr>
              <w:t>Number and ageing of material risks awaiting Board decision; Frequency and completeness of quarterly cyber-risk reporting</w:t>
            </w:r>
          </w:p>
        </w:tc>
      </w:tr>
      <w:tr w14:paraId="AF3C8943">
        <w:tblPrEx/>
        <w:trPr/>
        <w:tc>
          <w:tcPr>
            <w:tcW w:w="1000" w:type="dxa"/>
            <w:tcBorders/>
            <w:shd w:val="clear" w:color="auto" w:fill="auto"/>
            <w:tcMar>
              <w:top w:w="80" w:type="dxa"/>
              <w:left w:w="100" w:type="dxa"/>
              <w:bottom w:w="80" w:type="dxa"/>
              <w:right w:w="100" w:type="dxa"/>
            </w:tcMar>
            <w:vAlign w:val="center"/>
          </w:tcPr>
          <w:p w14:paraId="EBC4F09D">
            <w:pPr>
              <w:pStyle w:val="style0"/>
              <w:spacing w:lineRule="auto" w:line="420"/>
              <w:rPr>
                <w:rFonts w:ascii="RobotoStatic" w:cs="Zawgyi-One" w:hAnsi="Source Sans Pro"/>
              </w:rPr>
            </w:pPr>
            <w:r>
              <w:rPr>
                <w:rFonts w:ascii="RobotoStatic" w:cs="Zawgyi-One" w:hAnsi="Source Sans Pro"/>
                <w:sz w:val="18"/>
                <w:szCs w:val="18"/>
              </w:rPr>
              <w:t>CEO</w:t>
            </w:r>
          </w:p>
        </w:tc>
        <w:tc>
          <w:tcPr>
            <w:tcW w:w="1600" w:type="dxa"/>
            <w:tcBorders/>
            <w:shd w:val="clear" w:color="auto" w:fill="auto"/>
            <w:tcMar>
              <w:top w:w="80" w:type="dxa"/>
              <w:left w:w="100" w:type="dxa"/>
              <w:bottom w:w="80" w:type="dxa"/>
              <w:right w:w="100" w:type="dxa"/>
            </w:tcMar>
            <w:vAlign w:val="center"/>
          </w:tcPr>
          <w:p w14:paraId="1F284A05">
            <w:pPr>
              <w:pStyle w:val="style0"/>
              <w:spacing w:lineRule="auto" w:line="420"/>
              <w:rPr>
                <w:rFonts w:ascii="RobotoStatic" w:cs="Zawgyi-One" w:hAnsi="Source Sans Pro"/>
              </w:rPr>
            </w:pPr>
            <w:r>
              <w:rPr>
                <w:rFonts w:ascii="RobotoStatic" w:cs="Zawgyi-One" w:hAnsi="Source Sans Pro"/>
                <w:sz w:val="18"/>
                <w:szCs w:val="18"/>
              </w:rPr>
              <w:t>Own overall business accountability for security outcomes and ensure security strategy supports business objectives.</w:t>
            </w:r>
          </w:p>
        </w:tc>
        <w:tc>
          <w:tcPr>
            <w:tcW w:w="2260" w:type="dxa"/>
            <w:tcBorders/>
            <w:shd w:val="clear" w:color="auto" w:fill="auto"/>
            <w:tcMar>
              <w:top w:w="80" w:type="dxa"/>
              <w:left w:w="100" w:type="dxa"/>
              <w:bottom w:w="80" w:type="dxa"/>
              <w:right w:w="100" w:type="dxa"/>
            </w:tcMar>
            <w:vAlign w:val="center"/>
          </w:tcPr>
          <w:p w14:paraId="B223C8ED">
            <w:pPr>
              <w:pStyle w:val="style0"/>
              <w:spacing w:lineRule="auto" w:line="420"/>
              <w:rPr>
                <w:rFonts w:ascii="RobotoStatic" w:cs="Zawgyi-One" w:hAnsi="Source Sans Pro"/>
              </w:rPr>
            </w:pPr>
            <w:r>
              <w:rPr>
                <w:rFonts w:ascii="RobotoStatic" w:cs="Zawgyi-One" w:hAnsi="Source Sans Pro"/>
                <w:sz w:val="18"/>
                <w:szCs w:val="18"/>
              </w:rPr>
              <w:t>Chair the Executive Security Council; Approve security strategy and budget prior to Board ratification; Own escalation of material incidents to the Board; Ensure security is represented in enterprise strategic planning</w:t>
            </w:r>
          </w:p>
        </w:tc>
        <w:tc>
          <w:tcPr>
            <w:tcW w:w="1700" w:type="dxa"/>
            <w:tcBorders/>
            <w:shd w:val="clear" w:color="auto" w:fill="auto"/>
            <w:tcMar>
              <w:top w:w="80" w:type="dxa"/>
              <w:left w:w="100" w:type="dxa"/>
              <w:bottom w:w="80" w:type="dxa"/>
              <w:right w:w="100" w:type="dxa"/>
            </w:tcMar>
            <w:vAlign w:val="center"/>
          </w:tcPr>
          <w:p w14:paraId="93BFBEFC">
            <w:pPr>
              <w:pStyle w:val="style0"/>
              <w:spacing w:lineRule="auto" w:line="420"/>
              <w:rPr>
                <w:rFonts w:ascii="RobotoStatic" w:cs="Zawgyi-One" w:hAnsi="Source Sans Pro"/>
              </w:rPr>
            </w:pPr>
            <w:r>
              <w:rPr>
                <w:rFonts w:ascii="RobotoStatic" w:cs="Zawgyi-One" w:hAnsi="Source Sans Pro"/>
                <w:sz w:val="18"/>
                <w:szCs w:val="18"/>
              </w:rPr>
              <w:t>Approves strategy, major budget requests and executive-level risk decisions below Board materiality threshold.</w:t>
            </w:r>
          </w:p>
        </w:tc>
        <w:tc>
          <w:tcPr>
            <w:tcW w:w="1300" w:type="dxa"/>
            <w:tcBorders/>
            <w:shd w:val="clear" w:color="auto" w:fill="auto"/>
            <w:tcMar>
              <w:top w:w="80" w:type="dxa"/>
              <w:left w:w="100" w:type="dxa"/>
              <w:bottom w:w="80" w:type="dxa"/>
              <w:right w:w="100" w:type="dxa"/>
            </w:tcMar>
            <w:vAlign w:val="center"/>
          </w:tcPr>
          <w:p w14:paraId="4289DE77">
            <w:pPr>
              <w:pStyle w:val="style0"/>
              <w:spacing w:lineRule="auto" w:line="420"/>
              <w:rPr>
                <w:rFonts w:ascii="RobotoStatic" w:cs="Zawgyi-One" w:hAnsi="Source Sans Pro"/>
              </w:rPr>
            </w:pPr>
            <w:r>
              <w:rPr>
                <w:rFonts w:ascii="RobotoStatic" w:cs="Zawgyi-One" w:hAnsi="Source Sans Pro"/>
                <w:sz w:val="18"/>
                <w:szCs w:val="18"/>
              </w:rPr>
              <w:t>Reports to the Board</w:t>
            </w:r>
          </w:p>
        </w:tc>
        <w:tc>
          <w:tcPr>
            <w:tcW w:w="1500" w:type="dxa"/>
            <w:tcBorders/>
            <w:shd w:val="clear" w:color="auto" w:fill="auto"/>
            <w:tcMar>
              <w:top w:w="80" w:type="dxa"/>
              <w:left w:w="100" w:type="dxa"/>
              <w:bottom w:w="80" w:type="dxa"/>
              <w:right w:w="100" w:type="dxa"/>
            </w:tcMar>
            <w:vAlign w:val="center"/>
          </w:tcPr>
          <w:p w14:paraId="50D18BB0">
            <w:pPr>
              <w:pStyle w:val="style0"/>
              <w:spacing w:lineRule="auto" w:line="420"/>
              <w:rPr>
                <w:rFonts w:ascii="RobotoStatic" w:cs="Zawgyi-One" w:hAnsi="Source Sans Pro"/>
              </w:rPr>
            </w:pPr>
            <w:r>
              <w:rPr>
                <w:rFonts w:ascii="RobotoStatic" w:cs="Zawgyi-One" w:hAnsi="Source Sans Pro"/>
                <w:sz w:val="18"/>
                <w:szCs w:val="18"/>
              </w:rPr>
              <w:t>Time from material incident detection to Board notification; Percentage of security budget requests actioned within agreed SLA</w:t>
            </w:r>
          </w:p>
        </w:tc>
      </w:tr>
      <w:tr w14:paraId="263861CC">
        <w:tblPrEx/>
        <w:trPr/>
        <w:tc>
          <w:tcPr>
            <w:tcW w:w="1000" w:type="dxa"/>
            <w:tcBorders/>
            <w:shd w:val="clear" w:color="auto" w:fill="auto"/>
            <w:tcMar>
              <w:top w:w="80" w:type="dxa"/>
              <w:left w:w="100" w:type="dxa"/>
              <w:bottom w:w="80" w:type="dxa"/>
              <w:right w:w="100" w:type="dxa"/>
            </w:tcMar>
            <w:vAlign w:val="center"/>
          </w:tcPr>
          <w:p w14:paraId="136A7278">
            <w:pPr>
              <w:pStyle w:val="style0"/>
              <w:spacing w:lineRule="auto" w:line="420"/>
              <w:rPr>
                <w:rFonts w:ascii="RobotoStatic" w:cs="Zawgyi-One" w:hAnsi="Source Sans Pro"/>
              </w:rPr>
            </w:pPr>
            <w:r>
              <w:rPr>
                <w:rFonts w:ascii="RobotoStatic" w:cs="Zawgyi-One" w:hAnsi="Source Sans Pro"/>
                <w:sz w:val="18"/>
                <w:szCs w:val="18"/>
              </w:rPr>
              <w:t>CISO</w:t>
            </w:r>
          </w:p>
        </w:tc>
        <w:tc>
          <w:tcPr>
            <w:tcW w:w="1600" w:type="dxa"/>
            <w:tcBorders/>
            <w:shd w:val="clear" w:color="auto" w:fill="auto"/>
            <w:tcMar>
              <w:top w:w="80" w:type="dxa"/>
              <w:left w:w="100" w:type="dxa"/>
              <w:bottom w:w="80" w:type="dxa"/>
              <w:right w:w="100" w:type="dxa"/>
            </w:tcMar>
            <w:vAlign w:val="center"/>
          </w:tcPr>
          <w:p w14:paraId="2F2B929B">
            <w:pPr>
              <w:pStyle w:val="style0"/>
              <w:spacing w:lineRule="auto" w:line="420"/>
              <w:rPr>
                <w:rFonts w:ascii="RobotoStatic" w:cs="Zawgyi-One" w:hAnsi="Source Sans Pro"/>
              </w:rPr>
            </w:pPr>
            <w:r>
              <w:rPr>
                <w:rFonts w:ascii="RobotoStatic" w:cs="Zawgyi-One" w:hAnsi="Source Sans Pro"/>
                <w:sz w:val="18"/>
                <w:szCs w:val="18"/>
              </w:rPr>
              <w:t>Establish and lead the enterprise security governance framework, strategy and risk-reporting programme.</w:t>
            </w:r>
          </w:p>
        </w:tc>
        <w:tc>
          <w:tcPr>
            <w:tcW w:w="2260" w:type="dxa"/>
            <w:tcBorders/>
            <w:shd w:val="clear" w:color="auto" w:fill="auto"/>
            <w:tcMar>
              <w:top w:w="80" w:type="dxa"/>
              <w:left w:w="100" w:type="dxa"/>
              <w:bottom w:w="80" w:type="dxa"/>
              <w:right w:w="100" w:type="dxa"/>
            </w:tcMar>
            <w:vAlign w:val="center"/>
          </w:tcPr>
          <w:p w14:paraId="03CC2EB7">
            <w:pPr>
              <w:pStyle w:val="style0"/>
              <w:spacing w:lineRule="auto" w:line="420"/>
              <w:rPr>
                <w:rFonts w:ascii="RobotoStatic" w:cs="Zawgyi-One" w:hAnsi="Source Sans Pro"/>
              </w:rPr>
            </w:pPr>
            <w:r>
              <w:rPr>
                <w:rFonts w:ascii="RobotoStatic" w:cs="Zawgyi-One" w:hAnsi="Source Sans Pro"/>
                <w:sz w:val="18"/>
                <w:szCs w:val="18"/>
              </w:rPr>
              <w:t>Develop and maintain security strategy, policy and standards; Chair the Security Governance/Steering Committee; Assess and report security risk to executives and the Board; Oversee incident response governance and vulnerability management oversight</w:t>
            </w:r>
          </w:p>
        </w:tc>
        <w:tc>
          <w:tcPr>
            <w:tcW w:w="1700" w:type="dxa"/>
            <w:tcBorders/>
            <w:shd w:val="clear" w:color="auto" w:fill="auto"/>
            <w:tcMar>
              <w:top w:w="80" w:type="dxa"/>
              <w:left w:w="100" w:type="dxa"/>
              <w:bottom w:w="80" w:type="dxa"/>
              <w:right w:w="100" w:type="dxa"/>
            </w:tcMar>
            <w:vAlign w:val="center"/>
          </w:tcPr>
          <w:p w14:paraId="F6DEB78B">
            <w:pPr>
              <w:pStyle w:val="style0"/>
              <w:spacing w:lineRule="auto" w:line="420"/>
              <w:rPr>
                <w:rFonts w:ascii="RobotoStatic" w:cs="Zawgyi-One" w:hAnsi="Source Sans Pro"/>
              </w:rPr>
            </w:pPr>
            <w:r>
              <w:rPr>
                <w:rFonts w:ascii="RobotoStatic" w:cs="Zawgyi-One" w:hAnsi="Source Sans Pro"/>
                <w:sz w:val="18"/>
                <w:szCs w:val="18"/>
              </w:rPr>
              <w:t>Approves security policy and architecture exceptions; recommends risk ratings and treatment options; escalates material risk.</w:t>
            </w:r>
          </w:p>
        </w:tc>
        <w:tc>
          <w:tcPr>
            <w:tcW w:w="1300" w:type="dxa"/>
            <w:tcBorders/>
            <w:shd w:val="clear" w:color="auto" w:fill="auto"/>
            <w:tcMar>
              <w:top w:w="80" w:type="dxa"/>
              <w:left w:w="100" w:type="dxa"/>
              <w:bottom w:w="80" w:type="dxa"/>
              <w:right w:w="100" w:type="dxa"/>
            </w:tcMar>
            <w:vAlign w:val="center"/>
          </w:tcPr>
          <w:p w14:paraId="84DE1C7B">
            <w:pPr>
              <w:pStyle w:val="style0"/>
              <w:spacing w:lineRule="auto" w:line="420"/>
              <w:rPr>
                <w:rFonts w:ascii="RobotoStatic" w:cs="Zawgyi-One" w:hAnsi="Source Sans Pro"/>
              </w:rPr>
            </w:pPr>
            <w:r>
              <w:rPr>
                <w:rFonts w:ascii="RobotoStatic" w:cs="Zawgyi-One" w:hAnsi="Source Sans Pro"/>
                <w:sz w:val="18"/>
                <w:szCs w:val="18"/>
              </w:rPr>
              <w:t>Reports to CEO (or CRO, per organisational choice)</w:t>
            </w:r>
          </w:p>
        </w:tc>
        <w:tc>
          <w:tcPr>
            <w:tcW w:w="1500" w:type="dxa"/>
            <w:tcBorders/>
            <w:shd w:val="clear" w:color="auto" w:fill="auto"/>
            <w:tcMar>
              <w:top w:w="80" w:type="dxa"/>
              <w:left w:w="100" w:type="dxa"/>
              <w:bottom w:w="80" w:type="dxa"/>
              <w:right w:w="100" w:type="dxa"/>
            </w:tcMar>
            <w:vAlign w:val="center"/>
          </w:tcPr>
          <w:p w14:paraId="3CB9AC89">
            <w:pPr>
              <w:pStyle w:val="style0"/>
              <w:spacing w:lineRule="auto" w:line="420"/>
              <w:rPr>
                <w:rFonts w:ascii="RobotoStatic" w:cs="Zawgyi-One" w:hAnsi="Source Sans Pro"/>
              </w:rPr>
            </w:pPr>
            <w:r>
              <w:rPr>
                <w:rFonts w:ascii="RobotoStatic" w:cs="Zawgyi-One" w:hAnsi="Source Sans Pro"/>
                <w:sz w:val="18"/>
                <w:szCs w:val="18"/>
              </w:rPr>
              <w:t>Percentage of critical vulnerabilities remediated within SLA; Committee decision cycle time (issue raised to decision recorded)</w:t>
            </w:r>
          </w:p>
        </w:tc>
      </w:tr>
      <w:tr w14:paraId="63D95087">
        <w:tblPrEx/>
        <w:trPr/>
        <w:tc>
          <w:tcPr>
            <w:tcW w:w="1000" w:type="dxa"/>
            <w:tcBorders/>
            <w:shd w:val="clear" w:color="auto" w:fill="auto"/>
            <w:tcMar>
              <w:top w:w="80" w:type="dxa"/>
              <w:left w:w="100" w:type="dxa"/>
              <w:bottom w:w="80" w:type="dxa"/>
              <w:right w:w="100" w:type="dxa"/>
            </w:tcMar>
            <w:vAlign w:val="center"/>
          </w:tcPr>
          <w:p w14:paraId="4F114A62">
            <w:pPr>
              <w:pStyle w:val="style0"/>
              <w:spacing w:lineRule="auto" w:line="420"/>
              <w:rPr>
                <w:rFonts w:ascii="RobotoStatic" w:cs="Zawgyi-One" w:hAnsi="Source Sans Pro"/>
              </w:rPr>
            </w:pPr>
            <w:r>
              <w:rPr>
                <w:rFonts w:ascii="RobotoStatic" w:cs="Zawgyi-One" w:hAnsi="Source Sans Pro"/>
                <w:sz w:val="18"/>
                <w:szCs w:val="18"/>
              </w:rPr>
              <w:t>CRO / Risk</w:t>
            </w:r>
          </w:p>
        </w:tc>
        <w:tc>
          <w:tcPr>
            <w:tcW w:w="1600" w:type="dxa"/>
            <w:tcBorders/>
            <w:shd w:val="clear" w:color="auto" w:fill="auto"/>
            <w:tcMar>
              <w:top w:w="80" w:type="dxa"/>
              <w:left w:w="100" w:type="dxa"/>
              <w:bottom w:w="80" w:type="dxa"/>
              <w:right w:w="100" w:type="dxa"/>
            </w:tcMar>
            <w:vAlign w:val="center"/>
          </w:tcPr>
          <w:p w14:paraId="8CF9BC80">
            <w:pPr>
              <w:pStyle w:val="style0"/>
              <w:spacing w:lineRule="auto" w:line="420"/>
              <w:rPr>
                <w:rFonts w:ascii="RobotoStatic" w:cs="Zawgyi-One" w:hAnsi="Source Sans Pro"/>
              </w:rPr>
            </w:pPr>
            <w:r>
              <w:rPr>
                <w:rFonts w:ascii="RobotoStatic" w:cs="Zawgyi-One" w:hAnsi="Source Sans Pro"/>
                <w:sz w:val="18"/>
                <w:szCs w:val="18"/>
              </w:rPr>
              <w:t>Integrate cyber risk into the enterprise risk register and own formal risk-acceptance authority.</w:t>
            </w:r>
          </w:p>
        </w:tc>
        <w:tc>
          <w:tcPr>
            <w:tcW w:w="2260" w:type="dxa"/>
            <w:tcBorders/>
            <w:shd w:val="clear" w:color="auto" w:fill="auto"/>
            <w:tcMar>
              <w:top w:w="80" w:type="dxa"/>
              <w:left w:w="100" w:type="dxa"/>
              <w:bottom w:w="80" w:type="dxa"/>
              <w:right w:w="100" w:type="dxa"/>
            </w:tcMar>
            <w:vAlign w:val="center"/>
          </w:tcPr>
          <w:p w14:paraId="4DD03719">
            <w:pPr>
              <w:pStyle w:val="style0"/>
              <w:spacing w:lineRule="auto" w:line="420"/>
              <w:rPr>
                <w:rFonts w:ascii="RobotoStatic" w:cs="Zawgyi-One" w:hAnsi="Source Sans Pro"/>
              </w:rPr>
            </w:pPr>
            <w:r>
              <w:rPr>
                <w:rFonts w:ascii="RobotoStatic" w:cs="Zawgyi-One" w:hAnsi="Source Sans Pro"/>
                <w:sz w:val="18"/>
                <w:szCs w:val="18"/>
              </w:rPr>
              <w:t>Maintain enterprise risk methodology and register; Approve or decline risk acceptance within delegated authority; Aggregate cyber risk with other enterprise risk categories for Board reporting; Chair or co-chair Executive Security Council risk discussions</w:t>
            </w:r>
          </w:p>
        </w:tc>
        <w:tc>
          <w:tcPr>
            <w:tcW w:w="1700" w:type="dxa"/>
            <w:tcBorders/>
            <w:shd w:val="clear" w:color="auto" w:fill="auto"/>
            <w:tcMar>
              <w:top w:w="80" w:type="dxa"/>
              <w:left w:w="100" w:type="dxa"/>
              <w:bottom w:w="80" w:type="dxa"/>
              <w:right w:w="100" w:type="dxa"/>
            </w:tcMar>
            <w:vAlign w:val="center"/>
          </w:tcPr>
          <w:p w14:paraId="36A5D08F">
            <w:pPr>
              <w:pStyle w:val="style0"/>
              <w:spacing w:lineRule="auto" w:line="420"/>
              <w:rPr>
                <w:rFonts w:ascii="RobotoStatic" w:cs="Zawgyi-One" w:hAnsi="Source Sans Pro"/>
              </w:rPr>
            </w:pPr>
            <w:r>
              <w:rPr>
                <w:rFonts w:ascii="RobotoStatic" w:cs="Zawgyi-One" w:hAnsi="Source Sans Pro"/>
                <w:sz w:val="18"/>
                <w:szCs w:val="18"/>
              </w:rPr>
              <w:t>Accountable for risk acceptance decisions within delegated thresholds; escalates above-threshold risk to the Executive Security Council/Board.</w:t>
            </w:r>
          </w:p>
        </w:tc>
        <w:tc>
          <w:tcPr>
            <w:tcW w:w="1300" w:type="dxa"/>
            <w:tcBorders/>
            <w:shd w:val="clear" w:color="auto" w:fill="auto"/>
            <w:tcMar>
              <w:top w:w="80" w:type="dxa"/>
              <w:left w:w="100" w:type="dxa"/>
              <w:bottom w:w="80" w:type="dxa"/>
              <w:right w:w="100" w:type="dxa"/>
            </w:tcMar>
            <w:vAlign w:val="center"/>
          </w:tcPr>
          <w:p w14:paraId="9CF2AB63">
            <w:pPr>
              <w:pStyle w:val="style0"/>
              <w:spacing w:lineRule="auto" w:line="420"/>
              <w:rPr>
                <w:rFonts w:ascii="RobotoStatic" w:cs="Zawgyi-One" w:hAnsi="Source Sans Pro"/>
              </w:rPr>
            </w:pPr>
            <w:r>
              <w:rPr>
                <w:rFonts w:ascii="RobotoStatic" w:cs="Zawgyi-One" w:hAnsi="Source Sans Pro"/>
                <w:sz w:val="18"/>
                <w:szCs w:val="18"/>
              </w:rPr>
              <w:t>Reports to CEO/Board Risk Committee</w:t>
            </w:r>
          </w:p>
        </w:tc>
        <w:tc>
          <w:tcPr>
            <w:tcW w:w="1500" w:type="dxa"/>
            <w:tcBorders/>
            <w:shd w:val="clear" w:color="auto" w:fill="auto"/>
            <w:tcMar>
              <w:top w:w="80" w:type="dxa"/>
              <w:left w:w="100" w:type="dxa"/>
              <w:bottom w:w="80" w:type="dxa"/>
              <w:right w:w="100" w:type="dxa"/>
            </w:tcMar>
            <w:vAlign w:val="center"/>
          </w:tcPr>
          <w:p w14:paraId="B290193E">
            <w:pPr>
              <w:pStyle w:val="style0"/>
              <w:spacing w:lineRule="auto" w:line="420"/>
              <w:rPr>
                <w:rFonts w:ascii="RobotoStatic" w:cs="Zawgyi-One" w:hAnsi="Source Sans Pro"/>
              </w:rPr>
            </w:pPr>
            <w:r>
              <w:rPr>
                <w:rFonts w:ascii="RobotoStatic" w:cs="Zawgyi-One" w:hAnsi="Source Sans Pro"/>
                <w:sz w:val="18"/>
                <w:szCs w:val="18"/>
              </w:rPr>
              <w:t>Number of risk acceptances open beyond review date; Percentage of enterprise risk register entries with cyber risk correctly classified</w:t>
            </w:r>
          </w:p>
        </w:tc>
      </w:tr>
      <w:tr w14:paraId="D34C6993">
        <w:tblPrEx/>
        <w:trPr/>
        <w:tc>
          <w:tcPr>
            <w:tcW w:w="1000" w:type="dxa"/>
            <w:tcBorders/>
            <w:shd w:val="clear" w:color="auto" w:fill="auto"/>
            <w:tcMar>
              <w:top w:w="80" w:type="dxa"/>
              <w:left w:w="100" w:type="dxa"/>
              <w:bottom w:w="80" w:type="dxa"/>
              <w:right w:w="100" w:type="dxa"/>
            </w:tcMar>
            <w:vAlign w:val="center"/>
          </w:tcPr>
          <w:p w14:paraId="32A82645">
            <w:pPr>
              <w:pStyle w:val="style0"/>
              <w:spacing w:lineRule="auto" w:line="420"/>
              <w:rPr>
                <w:rFonts w:ascii="RobotoStatic" w:cs="Zawgyi-One" w:hAnsi="Source Sans Pro"/>
              </w:rPr>
            </w:pPr>
            <w:r>
              <w:rPr>
                <w:rFonts w:ascii="RobotoStatic" w:cs="Zawgyi-One" w:hAnsi="Source Sans Pro"/>
                <w:sz w:val="18"/>
                <w:szCs w:val="18"/>
              </w:rPr>
              <w:t>Legal / Compliance</w:t>
            </w:r>
          </w:p>
        </w:tc>
        <w:tc>
          <w:tcPr>
            <w:tcW w:w="1600" w:type="dxa"/>
            <w:tcBorders/>
            <w:shd w:val="clear" w:color="auto" w:fill="auto"/>
            <w:tcMar>
              <w:top w:w="80" w:type="dxa"/>
              <w:left w:w="100" w:type="dxa"/>
              <w:bottom w:w="80" w:type="dxa"/>
              <w:right w:w="100" w:type="dxa"/>
            </w:tcMar>
            <w:vAlign w:val="center"/>
          </w:tcPr>
          <w:p w14:paraId="8632D9C4">
            <w:pPr>
              <w:pStyle w:val="style0"/>
              <w:spacing w:lineRule="auto" w:line="420"/>
              <w:rPr>
                <w:rFonts w:ascii="RobotoStatic" w:cs="Zawgyi-One" w:hAnsi="Source Sans Pro"/>
              </w:rPr>
            </w:pPr>
            <w:r>
              <w:rPr>
                <w:rFonts w:ascii="RobotoStatic" w:cs="Zawgyi-One" w:hAnsi="Source Sans Pro"/>
                <w:sz w:val="18"/>
                <w:szCs w:val="18"/>
              </w:rPr>
              <w:t>Provide regulatory and contractual advice and own the regulatory notification decision.</w:t>
            </w:r>
          </w:p>
        </w:tc>
        <w:tc>
          <w:tcPr>
            <w:tcW w:w="2260" w:type="dxa"/>
            <w:tcBorders/>
            <w:shd w:val="clear" w:color="auto" w:fill="auto"/>
            <w:tcMar>
              <w:top w:w="80" w:type="dxa"/>
              <w:left w:w="100" w:type="dxa"/>
              <w:bottom w:w="80" w:type="dxa"/>
              <w:right w:w="100" w:type="dxa"/>
            </w:tcMar>
            <w:vAlign w:val="center"/>
          </w:tcPr>
          <w:p w14:paraId="5022BF59">
            <w:pPr>
              <w:pStyle w:val="style0"/>
              <w:spacing w:lineRule="auto" w:line="420"/>
              <w:rPr>
                <w:rFonts w:ascii="RobotoStatic" w:cs="Zawgyi-One" w:hAnsi="Source Sans Pro"/>
              </w:rPr>
            </w:pPr>
            <w:r>
              <w:rPr>
                <w:rFonts w:ascii="RobotoStatic" w:cs="Zawgyi-One" w:hAnsi="Source Sans Pro"/>
                <w:sz w:val="18"/>
                <w:szCs w:val="18"/>
              </w:rPr>
              <w:t>Advise on regulatory obligations relevant to incidents and new initiatives; Make the final call on regulatory breach notification; Review third-party and vendor contracts for security clauses; Maintain evidence and legal-hold processes for incidents</w:t>
            </w:r>
          </w:p>
        </w:tc>
        <w:tc>
          <w:tcPr>
            <w:tcW w:w="1700" w:type="dxa"/>
            <w:tcBorders/>
            <w:shd w:val="clear" w:color="auto" w:fill="auto"/>
            <w:tcMar>
              <w:top w:w="80" w:type="dxa"/>
              <w:left w:w="100" w:type="dxa"/>
              <w:bottom w:w="80" w:type="dxa"/>
              <w:right w:w="100" w:type="dxa"/>
            </w:tcMar>
            <w:vAlign w:val="center"/>
          </w:tcPr>
          <w:p w14:paraId="F6E16CB9">
            <w:pPr>
              <w:pStyle w:val="style0"/>
              <w:spacing w:lineRule="auto" w:line="420"/>
              <w:rPr>
                <w:rFonts w:ascii="RobotoStatic" w:cs="Zawgyi-One" w:hAnsi="Source Sans Pro"/>
              </w:rPr>
            </w:pPr>
            <w:r>
              <w:rPr>
                <w:rFonts w:ascii="RobotoStatic" w:cs="Zawgyi-One" w:hAnsi="Source Sans Pro"/>
                <w:sz w:val="18"/>
                <w:szCs w:val="18"/>
              </w:rPr>
              <w:t>Accountable for regulatory notification decisions; approves contractual security terms.</w:t>
            </w:r>
          </w:p>
        </w:tc>
        <w:tc>
          <w:tcPr>
            <w:tcW w:w="1300" w:type="dxa"/>
            <w:tcBorders/>
            <w:shd w:val="clear" w:color="auto" w:fill="auto"/>
            <w:tcMar>
              <w:top w:w="80" w:type="dxa"/>
              <w:left w:w="100" w:type="dxa"/>
              <w:bottom w:w="80" w:type="dxa"/>
              <w:right w:w="100" w:type="dxa"/>
            </w:tcMar>
            <w:vAlign w:val="center"/>
          </w:tcPr>
          <w:p w14:paraId="01B58748">
            <w:pPr>
              <w:pStyle w:val="style0"/>
              <w:spacing w:lineRule="auto" w:line="420"/>
              <w:rPr>
                <w:rFonts w:ascii="RobotoStatic" w:cs="Zawgyi-One" w:hAnsi="Source Sans Pro"/>
              </w:rPr>
            </w:pPr>
            <w:r>
              <w:rPr>
                <w:rFonts w:ascii="RobotoStatic" w:cs="Zawgyi-One" w:hAnsi="Source Sans Pro"/>
                <w:sz w:val="18"/>
                <w:szCs w:val="18"/>
              </w:rPr>
              <w:t>Reports to CEO</w:t>
            </w:r>
          </w:p>
        </w:tc>
        <w:tc>
          <w:tcPr>
            <w:tcW w:w="1500" w:type="dxa"/>
            <w:tcBorders/>
            <w:shd w:val="clear" w:color="auto" w:fill="auto"/>
            <w:tcMar>
              <w:top w:w="80" w:type="dxa"/>
              <w:left w:w="100" w:type="dxa"/>
              <w:bottom w:w="80" w:type="dxa"/>
              <w:right w:w="100" w:type="dxa"/>
            </w:tcMar>
            <w:vAlign w:val="center"/>
          </w:tcPr>
          <w:p w14:paraId="F2BAA274">
            <w:pPr>
              <w:pStyle w:val="style0"/>
              <w:spacing w:lineRule="auto" w:line="420"/>
              <w:rPr>
                <w:rFonts w:ascii="RobotoStatic" w:cs="Zawgyi-One" w:hAnsi="Source Sans Pro"/>
              </w:rPr>
            </w:pPr>
            <w:r>
              <w:rPr>
                <w:rFonts w:ascii="RobotoStatic" w:cs="Zawgyi-One" w:hAnsi="Source Sans Pro"/>
                <w:sz w:val="18"/>
                <w:szCs w:val="18"/>
              </w:rPr>
              <w:t>Percentage of regulatory notifications made within statutory deadline; Number of contracts executed without required security clause review</w:t>
            </w:r>
          </w:p>
        </w:tc>
      </w:tr>
      <w:tr w14:paraId="86A8D6AE">
        <w:tblPrEx/>
        <w:trPr/>
        <w:tc>
          <w:tcPr>
            <w:tcW w:w="1000" w:type="dxa"/>
            <w:tcBorders/>
            <w:shd w:val="clear" w:color="auto" w:fill="auto"/>
            <w:tcMar>
              <w:top w:w="80" w:type="dxa"/>
              <w:left w:w="100" w:type="dxa"/>
              <w:bottom w:w="80" w:type="dxa"/>
              <w:right w:w="100" w:type="dxa"/>
            </w:tcMar>
            <w:vAlign w:val="center"/>
          </w:tcPr>
          <w:p w14:paraId="D532F019">
            <w:pPr>
              <w:pStyle w:val="style0"/>
              <w:spacing w:lineRule="auto" w:line="420"/>
              <w:rPr>
                <w:rFonts w:ascii="RobotoStatic" w:cs="Zawgyi-One" w:hAnsi="Source Sans Pro"/>
              </w:rPr>
            </w:pPr>
            <w:r>
              <w:rPr>
                <w:rFonts w:ascii="RobotoStatic" w:cs="Zawgyi-One" w:hAnsi="Source Sans Pro"/>
                <w:sz w:val="18"/>
                <w:szCs w:val="18"/>
              </w:rPr>
              <w:t>Finance</w:t>
            </w:r>
          </w:p>
        </w:tc>
        <w:tc>
          <w:tcPr>
            <w:tcW w:w="1600" w:type="dxa"/>
            <w:tcBorders/>
            <w:shd w:val="clear" w:color="auto" w:fill="auto"/>
            <w:tcMar>
              <w:top w:w="80" w:type="dxa"/>
              <w:left w:w="100" w:type="dxa"/>
              <w:bottom w:w="80" w:type="dxa"/>
              <w:right w:w="100" w:type="dxa"/>
            </w:tcMar>
            <w:vAlign w:val="center"/>
          </w:tcPr>
          <w:p w14:paraId="A7E6AC9A">
            <w:pPr>
              <w:pStyle w:val="style0"/>
              <w:spacing w:lineRule="auto" w:line="420"/>
              <w:rPr>
                <w:rFonts w:ascii="RobotoStatic" w:cs="Zawgyi-One" w:hAnsi="Source Sans Pro"/>
              </w:rPr>
            </w:pPr>
            <w:r>
              <w:rPr>
                <w:rFonts w:ascii="RobotoStatic" w:cs="Zawgyi-One" w:hAnsi="Source Sans Pro"/>
                <w:sz w:val="18"/>
                <w:szCs w:val="18"/>
              </w:rPr>
              <w:t>Govern security investment and quantify financial exposure from cyber risk.</w:t>
            </w:r>
          </w:p>
        </w:tc>
        <w:tc>
          <w:tcPr>
            <w:tcW w:w="2260" w:type="dxa"/>
            <w:tcBorders/>
            <w:shd w:val="clear" w:color="auto" w:fill="auto"/>
            <w:tcMar>
              <w:top w:w="80" w:type="dxa"/>
              <w:left w:w="100" w:type="dxa"/>
              <w:bottom w:w="80" w:type="dxa"/>
              <w:right w:w="100" w:type="dxa"/>
            </w:tcMar>
            <w:vAlign w:val="center"/>
          </w:tcPr>
          <w:p w14:paraId="77AFB239">
            <w:pPr>
              <w:pStyle w:val="style0"/>
              <w:spacing w:lineRule="auto" w:line="420"/>
              <w:rPr>
                <w:rFonts w:ascii="RobotoStatic" w:cs="Zawgyi-One" w:hAnsi="Source Sans Pro"/>
              </w:rPr>
            </w:pPr>
            <w:r>
              <w:rPr>
                <w:rFonts w:ascii="RobotoStatic" w:cs="Zawgyi-One" w:hAnsi="Source Sans Pro"/>
                <w:sz w:val="18"/>
                <w:szCs w:val="18"/>
              </w:rPr>
              <w:t>Approve and track security budget execution; Model financial impact of risk scenarios for Executive Council decisions; Manage cyber-insurance relationship and claims; Report control-related capital and operating expenditure</w:t>
            </w:r>
          </w:p>
        </w:tc>
        <w:tc>
          <w:tcPr>
            <w:tcW w:w="1700" w:type="dxa"/>
            <w:tcBorders/>
            <w:shd w:val="clear" w:color="auto" w:fill="auto"/>
            <w:tcMar>
              <w:top w:w="80" w:type="dxa"/>
              <w:left w:w="100" w:type="dxa"/>
              <w:bottom w:w="80" w:type="dxa"/>
              <w:right w:w="100" w:type="dxa"/>
            </w:tcMar>
            <w:vAlign w:val="center"/>
          </w:tcPr>
          <w:p w14:paraId="484B8CD8">
            <w:pPr>
              <w:pStyle w:val="style0"/>
              <w:spacing w:lineRule="auto" w:line="420"/>
              <w:rPr>
                <w:rFonts w:ascii="RobotoStatic" w:cs="Zawgyi-One" w:hAnsi="Source Sans Pro"/>
              </w:rPr>
            </w:pPr>
            <w:r>
              <w:rPr>
                <w:rFonts w:ascii="RobotoStatic" w:cs="Zawgyi-One" w:hAnsi="Source Sans Pro"/>
                <w:sz w:val="18"/>
                <w:szCs w:val="18"/>
              </w:rPr>
              <w:t>Approves budget release against CEO-endorsed requests; escalates unbudgeted spend above delegated authority.</w:t>
            </w:r>
          </w:p>
        </w:tc>
        <w:tc>
          <w:tcPr>
            <w:tcW w:w="1300" w:type="dxa"/>
            <w:tcBorders/>
            <w:shd w:val="clear" w:color="auto" w:fill="auto"/>
            <w:tcMar>
              <w:top w:w="80" w:type="dxa"/>
              <w:left w:w="100" w:type="dxa"/>
              <w:bottom w:w="80" w:type="dxa"/>
              <w:right w:w="100" w:type="dxa"/>
            </w:tcMar>
            <w:vAlign w:val="center"/>
          </w:tcPr>
          <w:p w14:paraId="3C9A83D4">
            <w:pPr>
              <w:pStyle w:val="style0"/>
              <w:spacing w:lineRule="auto" w:line="420"/>
              <w:rPr>
                <w:rFonts w:ascii="RobotoStatic" w:cs="Zawgyi-One" w:hAnsi="Source Sans Pro"/>
              </w:rPr>
            </w:pPr>
            <w:r>
              <w:rPr>
                <w:rFonts w:ascii="RobotoStatic" w:cs="Zawgyi-One" w:hAnsi="Source Sans Pro"/>
                <w:sz w:val="18"/>
                <w:szCs w:val="18"/>
              </w:rPr>
              <w:t>Reports to CEO/Board Audit Committee</w:t>
            </w:r>
          </w:p>
        </w:tc>
        <w:tc>
          <w:tcPr>
            <w:tcW w:w="1500" w:type="dxa"/>
            <w:tcBorders/>
            <w:shd w:val="clear" w:color="auto" w:fill="auto"/>
            <w:tcMar>
              <w:top w:w="80" w:type="dxa"/>
              <w:left w:w="100" w:type="dxa"/>
              <w:bottom w:w="80" w:type="dxa"/>
              <w:right w:w="100" w:type="dxa"/>
            </w:tcMar>
            <w:vAlign w:val="center"/>
          </w:tcPr>
          <w:p w14:paraId="D3F52C17">
            <w:pPr>
              <w:pStyle w:val="style0"/>
              <w:spacing w:lineRule="auto" w:line="420"/>
              <w:rPr>
                <w:rFonts w:ascii="RobotoStatic" w:cs="Zawgyi-One" w:hAnsi="Source Sans Pro"/>
              </w:rPr>
            </w:pPr>
            <w:r>
              <w:rPr>
                <w:rFonts w:ascii="RobotoStatic" w:cs="Zawgyi-One" w:hAnsi="Source Sans Pro"/>
                <w:sz w:val="18"/>
                <w:szCs w:val="18"/>
              </w:rPr>
              <w:t>Budget variance against approved security spend; Time to release emergency remediation funding</w:t>
            </w:r>
          </w:p>
        </w:tc>
      </w:tr>
      <w:tr w14:paraId="D1506A91">
        <w:tblPrEx/>
        <w:trPr/>
        <w:tc>
          <w:tcPr>
            <w:tcW w:w="1000" w:type="dxa"/>
            <w:tcBorders/>
            <w:shd w:val="clear" w:color="auto" w:fill="auto"/>
            <w:tcMar>
              <w:top w:w="80" w:type="dxa"/>
              <w:left w:w="100" w:type="dxa"/>
              <w:bottom w:w="80" w:type="dxa"/>
              <w:right w:w="100" w:type="dxa"/>
            </w:tcMar>
            <w:vAlign w:val="center"/>
          </w:tcPr>
          <w:p w14:paraId="065D97E3">
            <w:pPr>
              <w:pStyle w:val="style0"/>
              <w:spacing w:lineRule="auto" w:line="420"/>
              <w:rPr>
                <w:rFonts w:ascii="RobotoStatic" w:cs="Zawgyi-One" w:hAnsi="Source Sans Pro"/>
              </w:rPr>
            </w:pPr>
            <w:r>
              <w:rPr>
                <w:rFonts w:ascii="RobotoStatic" w:cs="Zawgyi-One" w:hAnsi="Source Sans Pro"/>
                <w:sz w:val="18"/>
                <w:szCs w:val="18"/>
              </w:rPr>
              <w:t>Human Resources</w:t>
            </w:r>
          </w:p>
        </w:tc>
        <w:tc>
          <w:tcPr>
            <w:tcW w:w="1600" w:type="dxa"/>
            <w:tcBorders/>
            <w:shd w:val="clear" w:color="auto" w:fill="auto"/>
            <w:tcMar>
              <w:top w:w="80" w:type="dxa"/>
              <w:left w:w="100" w:type="dxa"/>
              <w:bottom w:w="80" w:type="dxa"/>
              <w:right w:w="100" w:type="dxa"/>
            </w:tcMar>
            <w:vAlign w:val="center"/>
          </w:tcPr>
          <w:p w14:paraId="D1CE7623">
            <w:pPr>
              <w:pStyle w:val="style0"/>
              <w:spacing w:lineRule="auto" w:line="420"/>
              <w:rPr>
                <w:rFonts w:ascii="RobotoStatic" w:cs="Zawgyi-One" w:hAnsi="Source Sans Pro"/>
              </w:rPr>
            </w:pPr>
            <w:r>
              <w:rPr>
                <w:rFonts w:ascii="RobotoStatic" w:cs="Zawgyi-One" w:hAnsi="Source Sans Pro"/>
                <w:sz w:val="18"/>
                <w:szCs w:val="18"/>
              </w:rPr>
              <w:t>Govern people-related security controls across the employee lifecycle.</w:t>
            </w:r>
          </w:p>
        </w:tc>
        <w:tc>
          <w:tcPr>
            <w:tcW w:w="2260" w:type="dxa"/>
            <w:tcBorders/>
            <w:shd w:val="clear" w:color="auto" w:fill="auto"/>
            <w:tcMar>
              <w:top w:w="80" w:type="dxa"/>
              <w:left w:w="100" w:type="dxa"/>
              <w:bottom w:w="80" w:type="dxa"/>
              <w:right w:w="100" w:type="dxa"/>
            </w:tcMar>
            <w:vAlign w:val="center"/>
          </w:tcPr>
          <w:p w14:paraId="85679009">
            <w:pPr>
              <w:pStyle w:val="style0"/>
              <w:spacing w:lineRule="auto" w:line="420"/>
              <w:rPr>
                <w:rFonts w:ascii="RobotoStatic" w:cs="Zawgyi-One" w:hAnsi="Source Sans Pro"/>
              </w:rPr>
            </w:pPr>
            <w:r>
              <w:rPr>
                <w:rFonts w:ascii="RobotoStatic" w:cs="Zawgyi-One" w:hAnsi="Source Sans Pro"/>
                <w:sz w:val="18"/>
                <w:szCs w:val="18"/>
              </w:rPr>
              <w:t>Execute joiner/mover/leaver access-change triggers; Run the security awareness and phishing-simulation programme; Manage disciplinary process for policy breaches; Support background-check and role-sensitivity requirements</w:t>
            </w:r>
          </w:p>
        </w:tc>
        <w:tc>
          <w:tcPr>
            <w:tcW w:w="1700" w:type="dxa"/>
            <w:tcBorders/>
            <w:shd w:val="clear" w:color="auto" w:fill="auto"/>
            <w:tcMar>
              <w:top w:w="80" w:type="dxa"/>
              <w:left w:w="100" w:type="dxa"/>
              <w:bottom w:w="80" w:type="dxa"/>
              <w:right w:w="100" w:type="dxa"/>
            </w:tcMar>
            <w:vAlign w:val="center"/>
          </w:tcPr>
          <w:p w14:paraId="9B90D511">
            <w:pPr>
              <w:pStyle w:val="style0"/>
              <w:spacing w:lineRule="auto" w:line="420"/>
              <w:rPr>
                <w:rFonts w:ascii="RobotoStatic" w:cs="Zawgyi-One" w:hAnsi="Source Sans Pro"/>
              </w:rPr>
            </w:pPr>
            <w:r>
              <w:rPr>
                <w:rFonts w:ascii="RobotoStatic" w:cs="Zawgyi-One" w:hAnsi="Source Sans Pro"/>
                <w:sz w:val="18"/>
                <w:szCs w:val="18"/>
              </w:rPr>
              <w:t>Owns HR process controls; accountable for on-time execution of access-change triggers.</w:t>
            </w:r>
          </w:p>
        </w:tc>
        <w:tc>
          <w:tcPr>
            <w:tcW w:w="1300" w:type="dxa"/>
            <w:tcBorders/>
            <w:shd w:val="clear" w:color="auto" w:fill="auto"/>
            <w:tcMar>
              <w:top w:w="80" w:type="dxa"/>
              <w:left w:w="100" w:type="dxa"/>
              <w:bottom w:w="80" w:type="dxa"/>
              <w:right w:w="100" w:type="dxa"/>
            </w:tcMar>
            <w:vAlign w:val="center"/>
          </w:tcPr>
          <w:p w14:paraId="FF6B5C21">
            <w:pPr>
              <w:pStyle w:val="style0"/>
              <w:spacing w:lineRule="auto" w:line="420"/>
              <w:rPr>
                <w:rFonts w:ascii="RobotoStatic" w:cs="Zawgyi-One" w:hAnsi="Source Sans Pro"/>
              </w:rPr>
            </w:pPr>
            <w:r>
              <w:rPr>
                <w:rFonts w:ascii="RobotoStatic" w:cs="Zawgyi-One" w:hAnsi="Source Sans Pro"/>
                <w:sz w:val="18"/>
                <w:szCs w:val="18"/>
              </w:rPr>
              <w:t>Reports to CEO</w:t>
            </w:r>
          </w:p>
        </w:tc>
        <w:tc>
          <w:tcPr>
            <w:tcW w:w="1500" w:type="dxa"/>
            <w:tcBorders/>
            <w:shd w:val="clear" w:color="auto" w:fill="auto"/>
            <w:tcMar>
              <w:top w:w="80" w:type="dxa"/>
              <w:left w:w="100" w:type="dxa"/>
              <w:bottom w:w="80" w:type="dxa"/>
              <w:right w:w="100" w:type="dxa"/>
            </w:tcMar>
            <w:vAlign w:val="center"/>
          </w:tcPr>
          <w:p w14:paraId="29FC4F49">
            <w:pPr>
              <w:pStyle w:val="style0"/>
              <w:spacing w:lineRule="auto" w:line="420"/>
              <w:rPr>
                <w:rFonts w:ascii="RobotoStatic" w:cs="Zawgyi-One" w:hAnsi="Source Sans Pro"/>
              </w:rPr>
            </w:pPr>
            <w:r>
              <w:rPr>
                <w:rFonts w:ascii="RobotoStatic" w:cs="Zawgyi-One" w:hAnsi="Source Sans Pro"/>
                <w:sz w:val="18"/>
                <w:szCs w:val="18"/>
              </w:rPr>
              <w:t>Percentage of leaver access revoked within 24 hours; Security awareness completion and phishing-simulation click rate</w:t>
            </w:r>
          </w:p>
        </w:tc>
      </w:tr>
      <w:tr w14:paraId="E133B9F7">
        <w:tblPrEx/>
        <w:trPr/>
        <w:tc>
          <w:tcPr>
            <w:tcW w:w="1000" w:type="dxa"/>
            <w:tcBorders/>
            <w:shd w:val="clear" w:color="auto" w:fill="auto"/>
            <w:tcMar>
              <w:top w:w="80" w:type="dxa"/>
              <w:left w:w="100" w:type="dxa"/>
              <w:bottom w:w="80" w:type="dxa"/>
              <w:right w:w="100" w:type="dxa"/>
            </w:tcMar>
            <w:vAlign w:val="center"/>
          </w:tcPr>
          <w:p w14:paraId="1687FC84">
            <w:pPr>
              <w:pStyle w:val="style0"/>
              <w:spacing w:lineRule="auto" w:line="420"/>
              <w:rPr>
                <w:rFonts w:ascii="RobotoStatic" w:cs="Zawgyi-One" w:hAnsi="Source Sans Pro"/>
              </w:rPr>
            </w:pPr>
            <w:r>
              <w:rPr>
                <w:rFonts w:ascii="RobotoStatic" w:cs="Zawgyi-One" w:hAnsi="Source Sans Pro"/>
                <w:sz w:val="18"/>
                <w:szCs w:val="18"/>
              </w:rPr>
              <w:t>IT / Technology</w:t>
            </w:r>
          </w:p>
        </w:tc>
        <w:tc>
          <w:tcPr>
            <w:tcW w:w="1600" w:type="dxa"/>
            <w:tcBorders/>
            <w:shd w:val="clear" w:color="auto" w:fill="auto"/>
            <w:tcMar>
              <w:top w:w="80" w:type="dxa"/>
              <w:left w:w="100" w:type="dxa"/>
              <w:bottom w:w="80" w:type="dxa"/>
              <w:right w:w="100" w:type="dxa"/>
            </w:tcMar>
            <w:vAlign w:val="center"/>
          </w:tcPr>
          <w:p w14:paraId="D9C79477">
            <w:pPr>
              <w:pStyle w:val="style0"/>
              <w:spacing w:lineRule="auto" w:line="420"/>
              <w:rPr>
                <w:rFonts w:ascii="RobotoStatic" w:cs="Zawgyi-One" w:hAnsi="Source Sans Pro"/>
              </w:rPr>
            </w:pPr>
            <w:r>
              <w:rPr>
                <w:rFonts w:ascii="RobotoStatic" w:cs="Zawgyi-One" w:hAnsi="Source Sans Pro"/>
                <w:sz w:val="18"/>
                <w:szCs w:val="18"/>
              </w:rPr>
              <w:t>Design, implement and operate technical security controls and infrastructure under CISO-set policy.</w:t>
            </w:r>
          </w:p>
        </w:tc>
        <w:tc>
          <w:tcPr>
            <w:tcW w:w="2260" w:type="dxa"/>
            <w:tcBorders/>
            <w:shd w:val="clear" w:color="auto" w:fill="auto"/>
            <w:tcMar>
              <w:top w:w="80" w:type="dxa"/>
              <w:left w:w="100" w:type="dxa"/>
              <w:bottom w:w="80" w:type="dxa"/>
              <w:right w:w="100" w:type="dxa"/>
            </w:tcMar>
            <w:vAlign w:val="center"/>
          </w:tcPr>
          <w:p w14:paraId="9B2E0B61">
            <w:pPr>
              <w:pStyle w:val="style0"/>
              <w:spacing w:lineRule="auto" w:line="420"/>
              <w:rPr>
                <w:rFonts w:ascii="RobotoStatic" w:cs="Zawgyi-One" w:hAnsi="Source Sans Pro"/>
              </w:rPr>
            </w:pPr>
            <w:r>
              <w:rPr>
                <w:rFonts w:ascii="RobotoStatic" w:cs="Zawgyi-One" w:hAnsi="Source Sans Pro"/>
                <w:sz w:val="18"/>
                <w:szCs w:val="18"/>
              </w:rPr>
              <w:t>Implement approved security architecture and controls; Operate first-line monitoring and initial incident triage; Execute vulnerability remediation against CISO-set SLAs; Maintain system and access administration</w:t>
            </w:r>
          </w:p>
        </w:tc>
        <w:tc>
          <w:tcPr>
            <w:tcW w:w="1700" w:type="dxa"/>
            <w:tcBorders/>
            <w:shd w:val="clear" w:color="auto" w:fill="auto"/>
            <w:tcMar>
              <w:top w:w="80" w:type="dxa"/>
              <w:left w:w="100" w:type="dxa"/>
              <w:bottom w:w="80" w:type="dxa"/>
              <w:right w:w="100" w:type="dxa"/>
            </w:tcMar>
            <w:vAlign w:val="center"/>
          </w:tcPr>
          <w:p w14:paraId="C877DBB1">
            <w:pPr>
              <w:pStyle w:val="style0"/>
              <w:spacing w:lineRule="auto" w:line="420"/>
              <w:rPr>
                <w:rFonts w:ascii="RobotoStatic" w:cs="Zawgyi-One" w:hAnsi="Source Sans Pro"/>
              </w:rPr>
            </w:pPr>
            <w:r>
              <w:rPr>
                <w:rFonts w:ascii="RobotoStatic" w:cs="Zawgyi-One" w:hAnsi="Source Sans Pro"/>
                <w:sz w:val="18"/>
                <w:szCs w:val="18"/>
              </w:rPr>
              <w:t>Implements within approved standards; escalates architecture exceptions and unresolved risk to CISO.</w:t>
            </w:r>
          </w:p>
        </w:tc>
        <w:tc>
          <w:tcPr>
            <w:tcW w:w="1300" w:type="dxa"/>
            <w:tcBorders/>
            <w:shd w:val="clear" w:color="auto" w:fill="auto"/>
            <w:tcMar>
              <w:top w:w="80" w:type="dxa"/>
              <w:left w:w="100" w:type="dxa"/>
              <w:bottom w:w="80" w:type="dxa"/>
              <w:right w:w="100" w:type="dxa"/>
            </w:tcMar>
            <w:vAlign w:val="center"/>
          </w:tcPr>
          <w:p w14:paraId="89D8C3A2">
            <w:pPr>
              <w:pStyle w:val="style0"/>
              <w:spacing w:lineRule="auto" w:line="420"/>
              <w:rPr>
                <w:rFonts w:ascii="RobotoStatic" w:cs="Zawgyi-One" w:hAnsi="Source Sans Pro"/>
              </w:rPr>
            </w:pPr>
            <w:r>
              <w:rPr>
                <w:rFonts w:ascii="RobotoStatic" w:cs="Zawgyi-One" w:hAnsi="Source Sans Pro"/>
                <w:sz w:val="18"/>
                <w:szCs w:val="18"/>
              </w:rPr>
              <w:t>Reports operationally to CIO/COO and functionally to CISO on security matters.</w:t>
            </w:r>
          </w:p>
        </w:tc>
        <w:tc>
          <w:tcPr>
            <w:tcW w:w="1500" w:type="dxa"/>
            <w:tcBorders/>
            <w:shd w:val="clear" w:color="auto" w:fill="auto"/>
            <w:tcMar>
              <w:top w:w="80" w:type="dxa"/>
              <w:left w:w="100" w:type="dxa"/>
              <w:bottom w:w="80" w:type="dxa"/>
              <w:right w:w="100" w:type="dxa"/>
            </w:tcMar>
            <w:vAlign w:val="center"/>
          </w:tcPr>
          <w:p w14:paraId="72C7A2D9">
            <w:pPr>
              <w:pStyle w:val="style0"/>
              <w:spacing w:lineRule="auto" w:line="420"/>
              <w:rPr>
                <w:rFonts w:ascii="RobotoStatic" w:cs="Zawgyi-One" w:hAnsi="Source Sans Pro"/>
              </w:rPr>
            </w:pPr>
            <w:r>
              <w:rPr>
                <w:rFonts w:ascii="RobotoStatic" w:cs="Zawgyi-One" w:hAnsi="Source Sans Pro"/>
                <w:sz w:val="18"/>
                <w:szCs w:val="18"/>
              </w:rPr>
              <w:t>Patch/vulnerability remediation SLA compliance; Mean time to contain a triaged incident</w:t>
            </w:r>
          </w:p>
        </w:tc>
      </w:tr>
    </w:tbl>
    <w:p w14:paraId="52F548B9">
      <w:pPr>
        <w:pStyle w:val="style0"/>
        <w:spacing w:lineRule="auto" w:line="420"/>
        <w:rPr>
          <w:rFonts w:ascii="RobotoStatic" w:cs="Zawgyi-One" w:hAnsi="Source Sans Pro"/>
          <w:b/>
          <w:bCs/>
          <w:color w:val="auto"/>
          <w:sz w:val="24"/>
          <w:szCs w:val="24"/>
        </w:rPr>
      </w:pPr>
    </w:p>
    <w:p w14:paraId="75BF56DB">
      <w:pPr>
        <w:pStyle w:val="style0"/>
        <w:spacing w:lineRule="auto" w:line="420"/>
        <w:rPr>
          <w:rFonts w:ascii="RobotoStatic" w:cs="Zawgyi-One" w:hAnsi="Source Sans Pro"/>
          <w:color w:val="auto"/>
        </w:rPr>
      </w:pPr>
      <w:r>
        <w:rPr>
          <w:rFonts w:ascii="RobotoStatic" w:cs="Zawgyi-One" w:hAnsi="Source Sans Pro"/>
          <w:b/>
          <w:bCs/>
          <w:color w:val="auto"/>
          <w:sz w:val="24"/>
          <w:szCs w:val="24"/>
        </w:rPr>
        <w:t>2.2 Role Profiles / Responsibility Cards</w:t>
      </w:r>
    </w:p>
    <w:p w14:paraId="AB21AD99">
      <w:pPr>
        <w:pStyle w:val="style0"/>
        <w:spacing w:after="160" w:lineRule="auto" w:line="420"/>
        <w:rPr>
          <w:rFonts w:ascii="RobotoStatic" w:cs="Zawgyi-One" w:hAnsi="Source Sans Pro"/>
        </w:rPr>
      </w:pPr>
      <w:r>
        <w:rPr>
          <w:rFonts w:ascii="RobotoStatic" w:cs="Zawgyi-One" w:hAnsi="Source Sans Pro"/>
          <w:sz w:val="21"/>
          <w:szCs w:val="21"/>
        </w:rPr>
        <w:t>Each card below restates the responsibility matrix as a standalone profile for briefing individual role-holders.</w:t>
      </w:r>
    </w:p>
    <w:p w14:paraId="6E1078A3">
      <w:pPr>
        <w:pStyle w:val="style3"/>
        <w:spacing w:before="200" w:after="100" w:lineRule="auto" w:line="420"/>
        <w:rPr>
          <w:rFonts w:ascii="RobotoStatic" w:cs="Zawgyi-One" w:hAnsi="Source Sans Pro"/>
          <w:color w:val="auto"/>
        </w:rPr>
      </w:pPr>
      <w:r>
        <w:rPr>
          <w:rFonts w:ascii="RobotoStatic" w:cs="Zawgyi-One" w:hAnsi="Source Sans Pro"/>
          <w:b/>
          <w:bCs/>
          <w:color w:val="auto"/>
          <w:sz w:val="21"/>
          <w:szCs w:val="21"/>
        </w:rPr>
        <w:t>Board of Directors</w:t>
      </w:r>
    </w:p>
    <w:p w14:paraId="821B4992">
      <w:pPr>
        <w:pStyle w:val="style0"/>
        <w:spacing w:before="60" w:after="40" w:lineRule="auto" w:line="420"/>
        <w:rPr>
          <w:rFonts w:ascii="RobotoStatic" w:cs="Zawgyi-One" w:hAnsi="Source Sans Pro"/>
        </w:rPr>
      </w:pPr>
      <w:r>
        <w:rPr>
          <w:rFonts w:ascii="RobotoStatic" w:cs="Zawgyi-One" w:hAnsi="Source Sans Pro"/>
          <w:b/>
          <w:bCs/>
        </w:rPr>
        <w:t>Purpose</w:t>
      </w:r>
    </w:p>
    <w:p w14:paraId="4CA2B7B1">
      <w:pPr>
        <w:pStyle w:val="style0"/>
        <w:spacing w:after="160" w:lineRule="auto" w:line="420"/>
        <w:rPr>
          <w:rFonts w:ascii="RobotoStatic" w:cs="Zawgyi-One" w:hAnsi="Source Sans Pro"/>
        </w:rPr>
      </w:pPr>
      <w:r>
        <w:rPr>
          <w:rFonts w:ascii="RobotoStatic" w:cs="Zawgyi-One" w:hAnsi="Source Sans Pro"/>
          <w:sz w:val="21"/>
          <w:szCs w:val="21"/>
        </w:rPr>
        <w:t>Provide ultimate oversight of cyber risk and hold executive management accountable for governance effectiveness.</w:t>
      </w:r>
    </w:p>
    <w:p w14:paraId="328CAF1A">
      <w:pPr>
        <w:pStyle w:val="style0"/>
        <w:spacing w:before="60" w:after="40" w:lineRule="auto" w:line="420"/>
        <w:rPr>
          <w:rFonts w:ascii="RobotoStatic" w:cs="Zawgyi-One" w:hAnsi="Source Sans Pro"/>
        </w:rPr>
      </w:pPr>
      <w:r>
        <w:rPr>
          <w:rFonts w:ascii="RobotoStatic" w:cs="Zawgyi-One" w:hAnsi="Source Sans Pro"/>
          <w:b/>
          <w:bCs/>
        </w:rPr>
        <w:t>Key Governance Responsibilities</w:t>
      </w:r>
    </w:p>
    <w:p w14:paraId="66F56602">
      <w:pPr>
        <w:pStyle w:val="style179"/>
        <w:numPr>
          <w:ilvl w:val="0"/>
          <w:numId w:val="1"/>
        </w:numPr>
        <w:spacing w:after="80" w:lineRule="auto" w:line="420"/>
        <w:rPr>
          <w:rFonts w:ascii="RobotoStatic" w:cs="Zawgyi-One" w:hAnsi="Source Sans Pro"/>
        </w:rPr>
      </w:pPr>
      <w:r>
        <w:rPr>
          <w:rFonts w:ascii="RobotoStatic" w:cs="Zawgyi-One" w:hAnsi="Source Sans Pro"/>
          <w:sz w:val="21"/>
          <w:szCs w:val="21"/>
        </w:rPr>
        <w:t>Approve enterprise risk appetite and tolerance for cyber risk</w:t>
      </w:r>
    </w:p>
    <w:p w14:paraId="85C107ED">
      <w:pPr>
        <w:pStyle w:val="style179"/>
        <w:numPr>
          <w:ilvl w:val="0"/>
          <w:numId w:val="1"/>
        </w:numPr>
        <w:spacing w:after="80" w:lineRule="auto" w:line="420"/>
        <w:rPr>
          <w:rFonts w:ascii="RobotoStatic" w:cs="Zawgyi-One" w:hAnsi="Source Sans Pro"/>
        </w:rPr>
      </w:pPr>
      <w:r>
        <w:rPr>
          <w:rFonts w:ascii="RobotoStatic" w:cs="Zawgyi-One" w:hAnsi="Source Sans Pro"/>
          <w:sz w:val="21"/>
          <w:szCs w:val="21"/>
        </w:rPr>
        <w:t>Review material cyber risk and incidents referred by the Executive Security Council</w:t>
      </w:r>
    </w:p>
    <w:p w14:paraId="E3CFE9BC">
      <w:pPr>
        <w:pStyle w:val="style179"/>
        <w:numPr>
          <w:ilvl w:val="0"/>
          <w:numId w:val="1"/>
        </w:numPr>
        <w:spacing w:after="80" w:lineRule="auto" w:line="420"/>
        <w:rPr>
          <w:rFonts w:ascii="RobotoStatic" w:cs="Zawgyi-One" w:hAnsi="Source Sans Pro"/>
        </w:rPr>
      </w:pPr>
      <w:r>
        <w:rPr>
          <w:rFonts w:ascii="RobotoStatic" w:cs="Zawgyi-One" w:hAnsi="Source Sans Pro"/>
          <w:sz w:val="21"/>
          <w:szCs w:val="21"/>
        </w:rPr>
        <w:t>Hold the CEO and CISO accountable for programme effectiveness</w:t>
      </w:r>
    </w:p>
    <w:p w14:paraId="78D58F40">
      <w:pPr>
        <w:pStyle w:val="style179"/>
        <w:numPr>
          <w:ilvl w:val="0"/>
          <w:numId w:val="1"/>
        </w:numPr>
        <w:spacing w:after="80" w:lineRule="auto" w:line="420"/>
        <w:rPr>
          <w:rFonts w:ascii="RobotoStatic" w:cs="Zawgyi-One" w:hAnsi="Source Sans Pro"/>
        </w:rPr>
      </w:pPr>
      <w:r>
        <w:rPr>
          <w:rFonts w:ascii="RobotoStatic" w:cs="Zawgyi-One" w:hAnsi="Source Sans Pro"/>
          <w:sz w:val="21"/>
          <w:szCs w:val="21"/>
        </w:rPr>
        <w:t>Oversee regulatory and reputational exposure at the enterprise level</w:t>
      </w:r>
    </w:p>
    <w:p w14:paraId="43A6850A">
      <w:pPr>
        <w:pStyle w:val="style0"/>
        <w:spacing w:before="60" w:after="40" w:lineRule="auto" w:line="420"/>
        <w:rPr>
          <w:rFonts w:ascii="RobotoStatic" w:cs="Zawgyi-One" w:hAnsi="Source Sans Pro"/>
        </w:rPr>
      </w:pPr>
      <w:r>
        <w:rPr>
          <w:rFonts w:ascii="RobotoStatic" w:cs="Zawgyi-One" w:hAnsi="Source Sans Pro"/>
          <w:b/>
          <w:bCs/>
        </w:rPr>
        <w:t>Decision Authority</w:t>
      </w:r>
    </w:p>
    <w:p w14:paraId="9A9E0EF5">
      <w:pPr>
        <w:pStyle w:val="style0"/>
        <w:spacing w:after="160" w:lineRule="auto" w:line="420"/>
        <w:rPr>
          <w:rFonts w:ascii="RobotoStatic" w:cs="Zawgyi-One" w:hAnsi="Source Sans Pro"/>
        </w:rPr>
      </w:pPr>
      <w:r>
        <w:rPr>
          <w:rFonts w:ascii="RobotoStatic" w:cs="Zawgyi-One" w:hAnsi="Source Sans Pro"/>
          <w:sz w:val="21"/>
          <w:szCs w:val="21"/>
        </w:rPr>
        <w:t>Approves risk appetite; ratifies material risk acceptance; approves security strategy at the highest level.</w:t>
      </w:r>
    </w:p>
    <w:p w14:paraId="F98CCA6F">
      <w:pPr>
        <w:pStyle w:val="style0"/>
        <w:spacing w:before="60" w:after="40" w:lineRule="auto" w:line="420"/>
        <w:rPr>
          <w:rFonts w:ascii="RobotoStatic" w:cs="Zawgyi-One" w:hAnsi="Source Sans Pro"/>
        </w:rPr>
      </w:pPr>
      <w:r>
        <w:rPr>
          <w:rFonts w:ascii="RobotoStatic" w:cs="Zawgyi-One" w:hAnsi="Source Sans Pro"/>
          <w:b/>
          <w:bCs/>
        </w:rPr>
        <w:t>Reporting Obligations</w:t>
      </w:r>
    </w:p>
    <w:p w14:paraId="CDEADB22">
      <w:pPr>
        <w:pStyle w:val="style0"/>
        <w:spacing w:after="160" w:lineRule="auto" w:line="420"/>
        <w:rPr>
          <w:rFonts w:ascii="RobotoStatic" w:cs="Zawgyi-One" w:hAnsi="Source Sans Pro"/>
        </w:rPr>
      </w:pPr>
      <w:r>
        <w:rPr>
          <w:rFonts w:ascii="RobotoStatic" w:cs="Zawgyi-One" w:hAnsi="Source Sans Pro"/>
          <w:sz w:val="21"/>
          <w:szCs w:val="21"/>
        </w:rPr>
        <w:t>Reports to shareholders/regulators; receives quarterly reporting from CISO via Executive Security Council and Internal Audit.</w:t>
      </w:r>
    </w:p>
    <w:p w14:paraId="F30D4754">
      <w:pPr>
        <w:pStyle w:val="style0"/>
        <w:spacing w:before="60" w:after="40" w:lineRule="auto" w:line="420"/>
        <w:rPr>
          <w:rFonts w:ascii="RobotoStatic" w:cs="Zawgyi-One" w:hAnsi="Source Sans Pro"/>
        </w:rPr>
      </w:pPr>
      <w:r>
        <w:rPr>
          <w:rFonts w:ascii="RobotoStatic" w:cs="Zawgyi-One" w:hAnsi="Source Sans Pro"/>
          <w:b/>
          <w:bCs/>
        </w:rPr>
        <w:t>Performance Indicators</w:t>
      </w:r>
    </w:p>
    <w:p w14:paraId="89CCA722">
      <w:pPr>
        <w:pStyle w:val="style179"/>
        <w:numPr>
          <w:ilvl w:val="0"/>
          <w:numId w:val="1"/>
        </w:numPr>
        <w:spacing w:after="80" w:lineRule="auto" w:line="420"/>
        <w:rPr>
          <w:rFonts w:ascii="RobotoStatic" w:cs="Zawgyi-One" w:hAnsi="Source Sans Pro"/>
        </w:rPr>
      </w:pPr>
      <w:r>
        <w:rPr>
          <w:rFonts w:ascii="RobotoStatic" w:cs="Zawgyi-One" w:hAnsi="Source Sans Pro"/>
          <w:sz w:val="21"/>
          <w:szCs w:val="21"/>
        </w:rPr>
        <w:t>Number and ageing of material risks awaiting Board decision</w:t>
      </w:r>
    </w:p>
    <w:p w14:paraId="226AC1E0">
      <w:pPr>
        <w:pStyle w:val="style179"/>
        <w:numPr>
          <w:ilvl w:val="0"/>
          <w:numId w:val="1"/>
        </w:numPr>
        <w:spacing w:after="80" w:lineRule="auto" w:line="420"/>
        <w:rPr>
          <w:rFonts w:ascii="RobotoStatic" w:cs="Zawgyi-One" w:hAnsi="Source Sans Pro"/>
        </w:rPr>
      </w:pPr>
      <w:r>
        <w:rPr>
          <w:rFonts w:ascii="RobotoStatic" w:cs="Zawgyi-One" w:hAnsi="Source Sans Pro"/>
          <w:sz w:val="21"/>
          <w:szCs w:val="21"/>
        </w:rPr>
        <w:t>Frequency and completeness of quarterly cyber-risk reporting</w:t>
      </w:r>
    </w:p>
    <w:p w14:paraId="71891FF5">
      <w:pPr>
        <w:pStyle w:val="style3"/>
        <w:spacing w:before="200" w:after="100" w:lineRule="auto" w:line="420"/>
        <w:rPr>
          <w:rFonts w:ascii="RobotoStatic" w:cs="Zawgyi-One" w:hAnsi="Source Sans Pro"/>
          <w:color w:val="auto"/>
        </w:rPr>
      </w:pPr>
      <w:r>
        <w:rPr>
          <w:rFonts w:ascii="RobotoStatic" w:cs="Zawgyi-One" w:hAnsi="Source Sans Pro"/>
          <w:b/>
          <w:bCs/>
          <w:color w:val="auto"/>
          <w:sz w:val="21"/>
          <w:szCs w:val="21"/>
        </w:rPr>
        <w:t>CEO</w:t>
      </w:r>
    </w:p>
    <w:p w14:paraId="2C65B853">
      <w:pPr>
        <w:pStyle w:val="style0"/>
        <w:spacing w:before="60" w:after="40" w:lineRule="auto" w:line="420"/>
        <w:rPr>
          <w:rFonts w:ascii="RobotoStatic" w:cs="Zawgyi-One" w:hAnsi="Source Sans Pro"/>
        </w:rPr>
      </w:pPr>
      <w:r>
        <w:rPr>
          <w:rFonts w:ascii="RobotoStatic" w:cs="Zawgyi-One" w:hAnsi="Source Sans Pro"/>
          <w:b/>
          <w:bCs/>
        </w:rPr>
        <w:t>Purpose</w:t>
      </w:r>
    </w:p>
    <w:p w14:paraId="2150CE66">
      <w:pPr>
        <w:pStyle w:val="style0"/>
        <w:spacing w:after="160" w:lineRule="auto" w:line="420"/>
        <w:rPr>
          <w:rFonts w:ascii="RobotoStatic" w:cs="Zawgyi-One" w:hAnsi="Source Sans Pro"/>
        </w:rPr>
      </w:pPr>
      <w:r>
        <w:rPr>
          <w:rFonts w:ascii="RobotoStatic" w:cs="Zawgyi-One" w:hAnsi="Source Sans Pro"/>
          <w:sz w:val="21"/>
          <w:szCs w:val="21"/>
        </w:rPr>
        <w:t>Own overall business accountability for security outcomes and ensure security strategy supports business objectives.</w:t>
      </w:r>
    </w:p>
    <w:p w14:paraId="FF0976A1">
      <w:pPr>
        <w:pStyle w:val="style0"/>
        <w:spacing w:before="60" w:after="40" w:lineRule="auto" w:line="420"/>
        <w:rPr>
          <w:rFonts w:ascii="RobotoStatic" w:cs="Zawgyi-One" w:hAnsi="Source Sans Pro"/>
        </w:rPr>
      </w:pPr>
      <w:r>
        <w:rPr>
          <w:rFonts w:ascii="RobotoStatic" w:cs="Zawgyi-One" w:hAnsi="Source Sans Pro"/>
          <w:b/>
          <w:bCs/>
        </w:rPr>
        <w:t>Key Governance Responsibilities</w:t>
      </w:r>
    </w:p>
    <w:p w14:paraId="C62A7E3D">
      <w:pPr>
        <w:pStyle w:val="style179"/>
        <w:numPr>
          <w:ilvl w:val="0"/>
          <w:numId w:val="1"/>
        </w:numPr>
        <w:spacing w:after="80" w:lineRule="auto" w:line="420"/>
        <w:rPr>
          <w:rFonts w:ascii="RobotoStatic" w:cs="Zawgyi-One" w:hAnsi="Source Sans Pro"/>
        </w:rPr>
      </w:pPr>
      <w:r>
        <w:rPr>
          <w:rFonts w:ascii="RobotoStatic" w:cs="Zawgyi-One" w:hAnsi="Source Sans Pro"/>
          <w:sz w:val="21"/>
          <w:szCs w:val="21"/>
        </w:rPr>
        <w:t>Chair the Executive Security Council</w:t>
      </w:r>
    </w:p>
    <w:p w14:paraId="8BBB2F62">
      <w:pPr>
        <w:pStyle w:val="style179"/>
        <w:numPr>
          <w:ilvl w:val="0"/>
          <w:numId w:val="1"/>
        </w:numPr>
        <w:spacing w:after="80" w:lineRule="auto" w:line="420"/>
        <w:rPr>
          <w:rFonts w:ascii="RobotoStatic" w:cs="Zawgyi-One" w:hAnsi="Source Sans Pro"/>
        </w:rPr>
      </w:pPr>
      <w:r>
        <w:rPr>
          <w:rFonts w:ascii="RobotoStatic" w:cs="Zawgyi-One" w:hAnsi="Source Sans Pro"/>
          <w:sz w:val="21"/>
          <w:szCs w:val="21"/>
        </w:rPr>
        <w:t>Approve security strategy and budget prior to Board ratification</w:t>
      </w:r>
    </w:p>
    <w:p w14:paraId="11401C4C">
      <w:pPr>
        <w:pStyle w:val="style179"/>
        <w:numPr>
          <w:ilvl w:val="0"/>
          <w:numId w:val="1"/>
        </w:numPr>
        <w:spacing w:after="80" w:lineRule="auto" w:line="420"/>
        <w:rPr>
          <w:rFonts w:ascii="RobotoStatic" w:cs="Zawgyi-One" w:hAnsi="Source Sans Pro"/>
        </w:rPr>
      </w:pPr>
      <w:r>
        <w:rPr>
          <w:rFonts w:ascii="RobotoStatic" w:cs="Zawgyi-One" w:hAnsi="Source Sans Pro"/>
          <w:sz w:val="21"/>
          <w:szCs w:val="21"/>
        </w:rPr>
        <w:t>Own escalation of material incidents to the Board</w:t>
      </w:r>
    </w:p>
    <w:p w14:paraId="02346964">
      <w:pPr>
        <w:pStyle w:val="style179"/>
        <w:numPr>
          <w:ilvl w:val="0"/>
          <w:numId w:val="1"/>
        </w:numPr>
        <w:spacing w:after="80" w:lineRule="auto" w:line="420"/>
        <w:rPr>
          <w:rFonts w:ascii="RobotoStatic" w:cs="Zawgyi-One" w:hAnsi="Source Sans Pro"/>
        </w:rPr>
      </w:pPr>
      <w:r>
        <w:rPr>
          <w:rFonts w:ascii="RobotoStatic" w:cs="Zawgyi-One" w:hAnsi="Source Sans Pro"/>
          <w:sz w:val="21"/>
          <w:szCs w:val="21"/>
        </w:rPr>
        <w:t>Ensure security is represented in enterprise strategic planning</w:t>
      </w:r>
    </w:p>
    <w:p w14:paraId="12A93A18">
      <w:pPr>
        <w:pStyle w:val="style0"/>
        <w:spacing w:before="60" w:after="40" w:lineRule="auto" w:line="420"/>
        <w:rPr>
          <w:rFonts w:ascii="RobotoStatic" w:cs="Zawgyi-One" w:hAnsi="Source Sans Pro"/>
        </w:rPr>
      </w:pPr>
      <w:r>
        <w:rPr>
          <w:rFonts w:ascii="RobotoStatic" w:cs="Zawgyi-One" w:hAnsi="Source Sans Pro"/>
          <w:b/>
          <w:bCs/>
        </w:rPr>
        <w:t>Decision Authority</w:t>
      </w:r>
    </w:p>
    <w:p w14:paraId="F5528D54">
      <w:pPr>
        <w:pStyle w:val="style0"/>
        <w:spacing w:after="160" w:lineRule="auto" w:line="420"/>
        <w:rPr>
          <w:rFonts w:ascii="RobotoStatic" w:cs="Zawgyi-One" w:hAnsi="Source Sans Pro"/>
        </w:rPr>
      </w:pPr>
      <w:r>
        <w:rPr>
          <w:rFonts w:ascii="RobotoStatic" w:cs="Zawgyi-One" w:hAnsi="Source Sans Pro"/>
          <w:sz w:val="21"/>
          <w:szCs w:val="21"/>
        </w:rPr>
        <w:t>Approves strategy, major budget requests and executive-level risk decisions below Board materiality threshold.</w:t>
      </w:r>
    </w:p>
    <w:p w14:paraId="843AB2D3">
      <w:pPr>
        <w:pStyle w:val="style0"/>
        <w:spacing w:before="60" w:after="40" w:lineRule="auto" w:line="420"/>
        <w:rPr>
          <w:rFonts w:ascii="RobotoStatic" w:cs="Zawgyi-One" w:hAnsi="Source Sans Pro"/>
        </w:rPr>
      </w:pPr>
      <w:r>
        <w:rPr>
          <w:rFonts w:ascii="RobotoStatic" w:cs="Zawgyi-One" w:hAnsi="Source Sans Pro"/>
          <w:b/>
          <w:bCs/>
        </w:rPr>
        <w:t>Reporting Obligations</w:t>
      </w:r>
    </w:p>
    <w:p w14:paraId="B29A7B37">
      <w:pPr>
        <w:pStyle w:val="style0"/>
        <w:spacing w:after="160" w:lineRule="auto" w:line="420"/>
        <w:rPr>
          <w:rFonts w:ascii="RobotoStatic" w:cs="Zawgyi-One" w:hAnsi="Source Sans Pro"/>
        </w:rPr>
      </w:pPr>
      <w:r>
        <w:rPr>
          <w:rFonts w:ascii="RobotoStatic" w:cs="Zawgyi-One" w:hAnsi="Source Sans Pro"/>
          <w:sz w:val="21"/>
          <w:szCs w:val="21"/>
        </w:rPr>
        <w:t>Reports to the Board; receives reporting from CISO, CRO and Legal.</w:t>
      </w:r>
    </w:p>
    <w:p w14:paraId="8E4455E0">
      <w:pPr>
        <w:pStyle w:val="style0"/>
        <w:spacing w:before="60" w:after="40" w:lineRule="auto" w:line="420"/>
        <w:rPr>
          <w:rFonts w:ascii="RobotoStatic" w:cs="Zawgyi-One" w:hAnsi="Source Sans Pro"/>
        </w:rPr>
      </w:pPr>
      <w:r>
        <w:rPr>
          <w:rFonts w:ascii="RobotoStatic" w:cs="Zawgyi-One" w:hAnsi="Source Sans Pro"/>
          <w:b/>
          <w:bCs/>
        </w:rPr>
        <w:t>Performance Indicators</w:t>
      </w:r>
    </w:p>
    <w:p w14:paraId="DA9E87E5">
      <w:pPr>
        <w:pStyle w:val="style179"/>
        <w:numPr>
          <w:ilvl w:val="0"/>
          <w:numId w:val="1"/>
        </w:numPr>
        <w:spacing w:after="80" w:lineRule="auto" w:line="420"/>
        <w:rPr>
          <w:rFonts w:ascii="RobotoStatic" w:cs="Zawgyi-One" w:hAnsi="Source Sans Pro"/>
        </w:rPr>
      </w:pPr>
      <w:r>
        <w:rPr>
          <w:rFonts w:ascii="RobotoStatic" w:cs="Zawgyi-One" w:hAnsi="Source Sans Pro"/>
          <w:sz w:val="21"/>
          <w:szCs w:val="21"/>
        </w:rPr>
        <w:t>Time from material incident detection to Board notification</w:t>
      </w:r>
    </w:p>
    <w:p w14:paraId="4DC3E499">
      <w:pPr>
        <w:pStyle w:val="style179"/>
        <w:numPr>
          <w:ilvl w:val="0"/>
          <w:numId w:val="1"/>
        </w:numPr>
        <w:spacing w:after="80" w:lineRule="auto" w:line="420"/>
        <w:rPr>
          <w:rFonts w:ascii="RobotoStatic" w:cs="Zawgyi-One" w:hAnsi="Source Sans Pro"/>
        </w:rPr>
      </w:pPr>
      <w:r>
        <w:rPr>
          <w:rFonts w:ascii="RobotoStatic" w:cs="Zawgyi-One" w:hAnsi="Source Sans Pro"/>
          <w:sz w:val="21"/>
          <w:szCs w:val="21"/>
        </w:rPr>
        <w:t>Percentage of security budget requests actioned within agreed SLA</w:t>
      </w:r>
    </w:p>
    <w:p w14:paraId="FFC6A0B9">
      <w:pPr>
        <w:pStyle w:val="style3"/>
        <w:spacing w:before="200" w:after="100" w:lineRule="auto" w:line="420"/>
        <w:rPr>
          <w:rFonts w:ascii="RobotoStatic" w:cs="Zawgyi-One" w:hAnsi="Source Sans Pro"/>
          <w:color w:val="auto"/>
        </w:rPr>
      </w:pPr>
      <w:r>
        <w:rPr>
          <w:rFonts w:ascii="RobotoStatic" w:cs="Zawgyi-One" w:hAnsi="Source Sans Pro"/>
          <w:b/>
          <w:bCs/>
          <w:color w:val="auto"/>
          <w:sz w:val="21"/>
          <w:szCs w:val="21"/>
        </w:rPr>
        <w:t>CISO</w:t>
      </w:r>
    </w:p>
    <w:p w14:paraId="EC37C051">
      <w:pPr>
        <w:pStyle w:val="style0"/>
        <w:spacing w:before="60" w:after="40" w:lineRule="auto" w:line="420"/>
        <w:rPr>
          <w:rFonts w:ascii="RobotoStatic" w:cs="Zawgyi-One" w:hAnsi="Source Sans Pro"/>
        </w:rPr>
      </w:pPr>
      <w:r>
        <w:rPr>
          <w:rFonts w:ascii="RobotoStatic" w:cs="Zawgyi-One" w:hAnsi="Source Sans Pro"/>
          <w:b/>
          <w:bCs/>
        </w:rPr>
        <w:t>Purpose</w:t>
      </w:r>
    </w:p>
    <w:p w14:paraId="6D120F71">
      <w:pPr>
        <w:pStyle w:val="style0"/>
        <w:spacing w:after="160" w:lineRule="auto" w:line="420"/>
        <w:rPr>
          <w:rFonts w:ascii="RobotoStatic" w:cs="Zawgyi-One" w:hAnsi="Source Sans Pro"/>
        </w:rPr>
      </w:pPr>
      <w:r>
        <w:rPr>
          <w:rFonts w:ascii="RobotoStatic" w:cs="Zawgyi-One" w:hAnsi="Source Sans Pro"/>
          <w:sz w:val="21"/>
          <w:szCs w:val="21"/>
        </w:rPr>
        <w:t>Establish and lead the enterprise security governance framework, strategy and risk-reporting programme.</w:t>
      </w:r>
    </w:p>
    <w:p w14:paraId="72F4782F">
      <w:pPr>
        <w:pStyle w:val="style0"/>
        <w:spacing w:before="60" w:after="40" w:lineRule="auto" w:line="420"/>
        <w:rPr>
          <w:rFonts w:ascii="RobotoStatic" w:cs="Zawgyi-One" w:hAnsi="Source Sans Pro"/>
        </w:rPr>
      </w:pPr>
      <w:r>
        <w:rPr>
          <w:rFonts w:ascii="RobotoStatic" w:cs="Zawgyi-One" w:hAnsi="Source Sans Pro"/>
          <w:b/>
          <w:bCs/>
        </w:rPr>
        <w:t>Key Governance Responsibilities</w:t>
      </w:r>
    </w:p>
    <w:p w14:paraId="8A12D189">
      <w:pPr>
        <w:pStyle w:val="style179"/>
        <w:numPr>
          <w:ilvl w:val="0"/>
          <w:numId w:val="1"/>
        </w:numPr>
        <w:spacing w:after="80" w:lineRule="auto" w:line="420"/>
        <w:rPr>
          <w:rFonts w:ascii="RobotoStatic" w:cs="Zawgyi-One" w:hAnsi="Source Sans Pro"/>
        </w:rPr>
      </w:pPr>
      <w:r>
        <w:rPr>
          <w:rFonts w:ascii="RobotoStatic" w:cs="Zawgyi-One" w:hAnsi="Source Sans Pro"/>
          <w:sz w:val="21"/>
          <w:szCs w:val="21"/>
        </w:rPr>
        <w:t>Develop and maintain security strategy, policy and standards</w:t>
      </w:r>
    </w:p>
    <w:p w14:paraId="51E0614F">
      <w:pPr>
        <w:pStyle w:val="style179"/>
        <w:numPr>
          <w:ilvl w:val="0"/>
          <w:numId w:val="1"/>
        </w:numPr>
        <w:spacing w:after="80" w:lineRule="auto" w:line="420"/>
        <w:rPr>
          <w:rFonts w:ascii="RobotoStatic" w:cs="Zawgyi-One" w:hAnsi="Source Sans Pro"/>
        </w:rPr>
      </w:pPr>
      <w:r>
        <w:rPr>
          <w:rFonts w:ascii="RobotoStatic" w:cs="Zawgyi-One" w:hAnsi="Source Sans Pro"/>
          <w:sz w:val="21"/>
          <w:szCs w:val="21"/>
        </w:rPr>
        <w:t>Chair the Security Governance/Steering Committee</w:t>
      </w:r>
    </w:p>
    <w:p w14:paraId="C8B4E6D9">
      <w:pPr>
        <w:pStyle w:val="style179"/>
        <w:numPr>
          <w:ilvl w:val="0"/>
          <w:numId w:val="1"/>
        </w:numPr>
        <w:spacing w:after="80" w:lineRule="auto" w:line="420"/>
        <w:rPr>
          <w:rFonts w:ascii="RobotoStatic" w:cs="Zawgyi-One" w:hAnsi="Source Sans Pro"/>
        </w:rPr>
      </w:pPr>
      <w:r>
        <w:rPr>
          <w:rFonts w:ascii="RobotoStatic" w:cs="Zawgyi-One" w:hAnsi="Source Sans Pro"/>
          <w:sz w:val="21"/>
          <w:szCs w:val="21"/>
        </w:rPr>
        <w:t>Assess and report security risk to executives and the Board</w:t>
      </w:r>
    </w:p>
    <w:p w14:paraId="32B3F195">
      <w:pPr>
        <w:pStyle w:val="style179"/>
        <w:numPr>
          <w:ilvl w:val="0"/>
          <w:numId w:val="1"/>
        </w:numPr>
        <w:spacing w:after="80" w:lineRule="auto" w:line="420"/>
        <w:rPr>
          <w:rFonts w:ascii="RobotoStatic" w:cs="Zawgyi-One" w:hAnsi="Source Sans Pro"/>
        </w:rPr>
      </w:pPr>
      <w:r>
        <w:rPr>
          <w:rFonts w:ascii="RobotoStatic" w:cs="Zawgyi-One" w:hAnsi="Source Sans Pro"/>
          <w:sz w:val="21"/>
          <w:szCs w:val="21"/>
        </w:rPr>
        <w:t>Oversee incident response governance and vulnerability management oversight</w:t>
      </w:r>
    </w:p>
    <w:p w14:paraId="45901D93">
      <w:pPr>
        <w:pStyle w:val="style0"/>
        <w:spacing w:before="60" w:after="40" w:lineRule="auto" w:line="420"/>
        <w:rPr>
          <w:rFonts w:ascii="RobotoStatic" w:cs="Zawgyi-One" w:hAnsi="Source Sans Pro"/>
        </w:rPr>
      </w:pPr>
      <w:r>
        <w:rPr>
          <w:rFonts w:ascii="RobotoStatic" w:cs="Zawgyi-One" w:hAnsi="Source Sans Pro"/>
          <w:b/>
          <w:bCs/>
        </w:rPr>
        <w:t>Decision Authority</w:t>
      </w:r>
    </w:p>
    <w:p w14:paraId="C889769D">
      <w:pPr>
        <w:pStyle w:val="style0"/>
        <w:spacing w:after="160" w:lineRule="auto" w:line="420"/>
        <w:rPr>
          <w:rFonts w:ascii="RobotoStatic" w:cs="Zawgyi-One" w:hAnsi="Source Sans Pro"/>
        </w:rPr>
      </w:pPr>
      <w:r>
        <w:rPr>
          <w:rFonts w:ascii="RobotoStatic" w:cs="Zawgyi-One" w:hAnsi="Source Sans Pro"/>
          <w:sz w:val="21"/>
          <w:szCs w:val="21"/>
        </w:rPr>
        <w:t>Approves security policy and architecture exceptions; recommends risk ratings and treatment options; escalates material risk.</w:t>
      </w:r>
    </w:p>
    <w:p w14:paraId="892D66F4">
      <w:pPr>
        <w:pStyle w:val="style0"/>
        <w:spacing w:before="60" w:after="40" w:lineRule="auto" w:line="420"/>
        <w:rPr>
          <w:rFonts w:ascii="RobotoStatic" w:cs="Zawgyi-One" w:hAnsi="Source Sans Pro"/>
        </w:rPr>
      </w:pPr>
      <w:r>
        <w:rPr>
          <w:rFonts w:ascii="RobotoStatic" w:cs="Zawgyi-One" w:hAnsi="Source Sans Pro"/>
          <w:b/>
          <w:bCs/>
        </w:rPr>
        <w:t>Reporting Obligations</w:t>
      </w:r>
    </w:p>
    <w:p w14:paraId="00C457E3">
      <w:pPr>
        <w:pStyle w:val="style0"/>
        <w:spacing w:after="160" w:lineRule="auto" w:line="420"/>
        <w:rPr>
          <w:rFonts w:ascii="RobotoStatic" w:cs="Zawgyi-One" w:hAnsi="Source Sans Pro"/>
        </w:rPr>
      </w:pPr>
      <w:r>
        <w:rPr>
          <w:rFonts w:ascii="RobotoStatic" w:cs="Zawgyi-One" w:hAnsi="Source Sans Pro"/>
          <w:sz w:val="21"/>
          <w:szCs w:val="21"/>
        </w:rPr>
        <w:t>Reports to CEO (or CRO, per organisational choice); reports quarterly to the Board via the Executive Security Council.</w:t>
      </w:r>
    </w:p>
    <w:p w14:paraId="AEEBEAAC">
      <w:pPr>
        <w:pStyle w:val="style0"/>
        <w:spacing w:before="60" w:after="40" w:lineRule="auto" w:line="420"/>
        <w:rPr>
          <w:rFonts w:ascii="RobotoStatic" w:cs="Zawgyi-One" w:hAnsi="Source Sans Pro"/>
        </w:rPr>
      </w:pPr>
      <w:r>
        <w:rPr>
          <w:rFonts w:ascii="RobotoStatic" w:cs="Zawgyi-One" w:hAnsi="Source Sans Pro"/>
          <w:b/>
          <w:bCs/>
        </w:rPr>
        <w:t>Performance Indicators</w:t>
      </w:r>
    </w:p>
    <w:p w14:paraId="CC2C16C7">
      <w:pPr>
        <w:pStyle w:val="style179"/>
        <w:numPr>
          <w:ilvl w:val="0"/>
          <w:numId w:val="1"/>
        </w:numPr>
        <w:spacing w:after="80" w:lineRule="auto" w:line="420"/>
        <w:rPr>
          <w:rFonts w:ascii="RobotoStatic" w:cs="Zawgyi-One" w:hAnsi="Source Sans Pro"/>
        </w:rPr>
      </w:pPr>
      <w:r>
        <w:rPr>
          <w:rFonts w:ascii="RobotoStatic" w:cs="Zawgyi-One" w:hAnsi="Source Sans Pro"/>
          <w:sz w:val="21"/>
          <w:szCs w:val="21"/>
        </w:rPr>
        <w:t>Percentage of critical vulnerabilities remediated within SLA</w:t>
      </w:r>
    </w:p>
    <w:p w14:paraId="902AB24D">
      <w:pPr>
        <w:pStyle w:val="style179"/>
        <w:numPr>
          <w:ilvl w:val="0"/>
          <w:numId w:val="1"/>
        </w:numPr>
        <w:spacing w:after="80" w:lineRule="auto" w:line="420"/>
        <w:rPr>
          <w:rFonts w:ascii="RobotoStatic" w:cs="Zawgyi-One" w:hAnsi="Source Sans Pro"/>
        </w:rPr>
      </w:pPr>
      <w:r>
        <w:rPr>
          <w:rFonts w:ascii="RobotoStatic" w:cs="Zawgyi-One" w:hAnsi="Source Sans Pro"/>
          <w:sz w:val="21"/>
          <w:szCs w:val="21"/>
        </w:rPr>
        <w:t>Committee decision cycle time (issue raised to decision recorded)</w:t>
      </w:r>
    </w:p>
    <w:p w14:paraId="AB1316E4">
      <w:pPr>
        <w:pStyle w:val="style3"/>
        <w:spacing w:before="200" w:after="100" w:lineRule="auto" w:line="420"/>
        <w:rPr>
          <w:rFonts w:ascii="RobotoStatic" w:cs="Zawgyi-One" w:hAnsi="Source Sans Pro"/>
          <w:color w:val="auto"/>
        </w:rPr>
      </w:pPr>
      <w:r>
        <w:rPr>
          <w:rFonts w:ascii="RobotoStatic" w:cs="Zawgyi-One" w:hAnsi="Source Sans Pro"/>
          <w:b/>
          <w:bCs/>
          <w:color w:val="auto"/>
          <w:sz w:val="21"/>
          <w:szCs w:val="21"/>
        </w:rPr>
        <w:t>CRO / Risk</w:t>
      </w:r>
    </w:p>
    <w:p w14:paraId="BCBA00E4">
      <w:pPr>
        <w:pStyle w:val="style0"/>
        <w:spacing w:before="60" w:after="40" w:lineRule="auto" w:line="420"/>
        <w:rPr>
          <w:rFonts w:ascii="RobotoStatic" w:cs="Zawgyi-One" w:hAnsi="Source Sans Pro"/>
        </w:rPr>
      </w:pPr>
      <w:r>
        <w:rPr>
          <w:rFonts w:ascii="RobotoStatic" w:cs="Zawgyi-One" w:hAnsi="Source Sans Pro"/>
          <w:b/>
          <w:bCs/>
        </w:rPr>
        <w:t>Purpose</w:t>
      </w:r>
    </w:p>
    <w:p w14:paraId="E2BE7EA1">
      <w:pPr>
        <w:pStyle w:val="style0"/>
        <w:spacing w:after="160" w:lineRule="auto" w:line="420"/>
        <w:rPr>
          <w:rFonts w:ascii="RobotoStatic" w:cs="Zawgyi-One" w:hAnsi="Source Sans Pro"/>
        </w:rPr>
      </w:pPr>
      <w:r>
        <w:rPr>
          <w:rFonts w:ascii="RobotoStatic" w:cs="Zawgyi-One" w:hAnsi="Source Sans Pro"/>
          <w:sz w:val="21"/>
          <w:szCs w:val="21"/>
        </w:rPr>
        <w:t>Integrate cyber risk into the enterprise risk register and own formal risk-acceptance authority.</w:t>
      </w:r>
    </w:p>
    <w:p w14:paraId="D2D8F9B0">
      <w:pPr>
        <w:pStyle w:val="style0"/>
        <w:spacing w:before="60" w:after="40" w:lineRule="auto" w:line="420"/>
        <w:rPr>
          <w:rFonts w:ascii="RobotoStatic" w:cs="Zawgyi-One" w:hAnsi="Source Sans Pro"/>
        </w:rPr>
      </w:pPr>
      <w:r>
        <w:rPr>
          <w:rFonts w:ascii="RobotoStatic" w:cs="Zawgyi-One" w:hAnsi="Source Sans Pro"/>
          <w:b/>
          <w:bCs/>
        </w:rPr>
        <w:t>Key Governance Responsibilities</w:t>
      </w:r>
    </w:p>
    <w:p w14:paraId="133CB915">
      <w:pPr>
        <w:pStyle w:val="style179"/>
        <w:numPr>
          <w:ilvl w:val="0"/>
          <w:numId w:val="1"/>
        </w:numPr>
        <w:spacing w:after="80" w:lineRule="auto" w:line="420"/>
        <w:rPr>
          <w:rFonts w:ascii="RobotoStatic" w:cs="Zawgyi-One" w:hAnsi="Source Sans Pro"/>
        </w:rPr>
      </w:pPr>
      <w:r>
        <w:rPr>
          <w:rFonts w:ascii="RobotoStatic" w:cs="Zawgyi-One" w:hAnsi="Source Sans Pro"/>
          <w:sz w:val="21"/>
          <w:szCs w:val="21"/>
        </w:rPr>
        <w:t>Maintain enterprise risk methodology and register</w:t>
      </w:r>
    </w:p>
    <w:p w14:paraId="4C8C4283">
      <w:pPr>
        <w:pStyle w:val="style179"/>
        <w:numPr>
          <w:ilvl w:val="0"/>
          <w:numId w:val="1"/>
        </w:numPr>
        <w:spacing w:after="80" w:lineRule="auto" w:line="420"/>
        <w:rPr>
          <w:rFonts w:ascii="RobotoStatic" w:cs="Zawgyi-One" w:hAnsi="Source Sans Pro"/>
        </w:rPr>
      </w:pPr>
      <w:r>
        <w:rPr>
          <w:rFonts w:ascii="RobotoStatic" w:cs="Zawgyi-One" w:hAnsi="Source Sans Pro"/>
          <w:sz w:val="21"/>
          <w:szCs w:val="21"/>
        </w:rPr>
        <w:t>Approve or decline risk acceptance within delegated authority</w:t>
      </w:r>
    </w:p>
    <w:p w14:paraId="E98247C7">
      <w:pPr>
        <w:pStyle w:val="style179"/>
        <w:numPr>
          <w:ilvl w:val="0"/>
          <w:numId w:val="1"/>
        </w:numPr>
        <w:spacing w:after="80" w:lineRule="auto" w:line="420"/>
        <w:rPr>
          <w:rFonts w:ascii="RobotoStatic" w:cs="Zawgyi-One" w:hAnsi="Source Sans Pro"/>
        </w:rPr>
      </w:pPr>
      <w:r>
        <w:rPr>
          <w:rFonts w:ascii="RobotoStatic" w:cs="Zawgyi-One" w:hAnsi="Source Sans Pro"/>
          <w:sz w:val="21"/>
          <w:szCs w:val="21"/>
        </w:rPr>
        <w:t>Aggregate cyber risk with other enterprise risk categories for Board reporting</w:t>
      </w:r>
    </w:p>
    <w:p w14:paraId="59C12A11">
      <w:pPr>
        <w:pStyle w:val="style179"/>
        <w:numPr>
          <w:ilvl w:val="0"/>
          <w:numId w:val="1"/>
        </w:numPr>
        <w:spacing w:after="80" w:lineRule="auto" w:line="420"/>
        <w:rPr>
          <w:rFonts w:ascii="RobotoStatic" w:cs="Zawgyi-One" w:hAnsi="Source Sans Pro"/>
        </w:rPr>
      </w:pPr>
      <w:r>
        <w:rPr>
          <w:rFonts w:ascii="RobotoStatic" w:cs="Zawgyi-One" w:hAnsi="Source Sans Pro"/>
          <w:sz w:val="21"/>
          <w:szCs w:val="21"/>
        </w:rPr>
        <w:t>Chair or co-chair Executive Security Council risk discussions</w:t>
      </w:r>
    </w:p>
    <w:p w14:paraId="59FAA285">
      <w:pPr>
        <w:pStyle w:val="style0"/>
        <w:spacing w:before="60" w:after="40" w:lineRule="auto" w:line="420"/>
        <w:rPr>
          <w:rFonts w:ascii="RobotoStatic" w:cs="Zawgyi-One" w:hAnsi="Source Sans Pro"/>
        </w:rPr>
      </w:pPr>
      <w:r>
        <w:rPr>
          <w:rFonts w:ascii="RobotoStatic" w:cs="Zawgyi-One" w:hAnsi="Source Sans Pro"/>
          <w:b/>
          <w:bCs/>
        </w:rPr>
        <w:t>Decision Authority</w:t>
      </w:r>
    </w:p>
    <w:p w14:paraId="7E10F99B">
      <w:pPr>
        <w:pStyle w:val="style0"/>
        <w:spacing w:after="160" w:lineRule="auto" w:line="420"/>
        <w:rPr>
          <w:rFonts w:ascii="RobotoStatic" w:cs="Zawgyi-One" w:hAnsi="Source Sans Pro"/>
        </w:rPr>
      </w:pPr>
      <w:r>
        <w:rPr>
          <w:rFonts w:ascii="RobotoStatic" w:cs="Zawgyi-One" w:hAnsi="Source Sans Pro"/>
          <w:sz w:val="21"/>
          <w:szCs w:val="21"/>
        </w:rPr>
        <w:t>Accountable for risk acceptance decisions within delegated thresholds; escalates above-threshold risk to the Executive Security Council/Board.</w:t>
      </w:r>
    </w:p>
    <w:p w14:paraId="59B9CFC6">
      <w:pPr>
        <w:pStyle w:val="style0"/>
        <w:spacing w:before="60" w:after="40" w:lineRule="auto" w:line="420"/>
        <w:rPr>
          <w:rFonts w:ascii="RobotoStatic" w:cs="Zawgyi-One" w:hAnsi="Source Sans Pro"/>
        </w:rPr>
      </w:pPr>
      <w:r>
        <w:rPr>
          <w:rFonts w:ascii="RobotoStatic" w:cs="Zawgyi-One" w:hAnsi="Source Sans Pro"/>
          <w:b/>
          <w:bCs/>
        </w:rPr>
        <w:t>Reporting Obligations</w:t>
      </w:r>
    </w:p>
    <w:p w14:paraId="5937C3BB">
      <w:pPr>
        <w:pStyle w:val="style0"/>
        <w:spacing w:after="160" w:lineRule="auto" w:line="420"/>
        <w:rPr>
          <w:rFonts w:ascii="RobotoStatic" w:cs="Zawgyi-One" w:hAnsi="Source Sans Pro"/>
        </w:rPr>
      </w:pPr>
      <w:r>
        <w:rPr>
          <w:rFonts w:ascii="RobotoStatic" w:cs="Zawgyi-One" w:hAnsi="Source Sans Pro"/>
          <w:sz w:val="21"/>
          <w:szCs w:val="21"/>
        </w:rPr>
        <w:t>Reports to CEO/Board Risk Committee; receives risk assessments from CISO.</w:t>
      </w:r>
    </w:p>
    <w:p w14:paraId="CF105AFB">
      <w:pPr>
        <w:pStyle w:val="style0"/>
        <w:spacing w:before="60" w:after="40" w:lineRule="auto" w:line="420"/>
        <w:rPr>
          <w:rFonts w:ascii="RobotoStatic" w:cs="Zawgyi-One" w:hAnsi="Source Sans Pro"/>
        </w:rPr>
      </w:pPr>
      <w:r>
        <w:rPr>
          <w:rFonts w:ascii="RobotoStatic" w:cs="Zawgyi-One" w:hAnsi="Source Sans Pro"/>
          <w:b/>
          <w:bCs/>
        </w:rPr>
        <w:t>Performance Indicators</w:t>
      </w:r>
    </w:p>
    <w:p w14:paraId="68438F97">
      <w:pPr>
        <w:pStyle w:val="style179"/>
        <w:numPr>
          <w:ilvl w:val="0"/>
          <w:numId w:val="1"/>
        </w:numPr>
        <w:spacing w:after="80" w:lineRule="auto" w:line="420"/>
        <w:rPr>
          <w:rFonts w:ascii="RobotoStatic" w:cs="Zawgyi-One" w:hAnsi="Source Sans Pro"/>
        </w:rPr>
      </w:pPr>
      <w:r>
        <w:rPr>
          <w:rFonts w:ascii="RobotoStatic" w:cs="Zawgyi-One" w:hAnsi="Source Sans Pro"/>
          <w:sz w:val="21"/>
          <w:szCs w:val="21"/>
        </w:rPr>
        <w:t>Number of risk acceptances open beyond review date</w:t>
      </w:r>
    </w:p>
    <w:p w14:paraId="0391344C">
      <w:pPr>
        <w:pStyle w:val="style179"/>
        <w:numPr>
          <w:ilvl w:val="0"/>
          <w:numId w:val="1"/>
        </w:numPr>
        <w:spacing w:after="80" w:lineRule="auto" w:line="420"/>
        <w:rPr>
          <w:rFonts w:ascii="RobotoStatic" w:cs="Zawgyi-One" w:hAnsi="Source Sans Pro"/>
        </w:rPr>
      </w:pPr>
      <w:r>
        <w:rPr>
          <w:rFonts w:ascii="RobotoStatic" w:cs="Zawgyi-One" w:hAnsi="Source Sans Pro"/>
          <w:sz w:val="21"/>
          <w:szCs w:val="21"/>
        </w:rPr>
        <w:t>Percentage of enterprise risk register entries with cyber risk correctly classified</w:t>
      </w:r>
    </w:p>
    <w:p w14:paraId="C0B96792">
      <w:pPr>
        <w:pStyle w:val="style3"/>
        <w:spacing w:before="200" w:after="100" w:lineRule="auto" w:line="420"/>
        <w:rPr>
          <w:rFonts w:ascii="RobotoStatic" w:cs="Zawgyi-One" w:hAnsi="Source Sans Pro"/>
          <w:color w:val="auto"/>
        </w:rPr>
      </w:pPr>
      <w:r>
        <w:rPr>
          <w:rFonts w:ascii="RobotoStatic" w:cs="Zawgyi-One" w:hAnsi="Source Sans Pro"/>
          <w:b/>
          <w:bCs/>
          <w:color w:val="auto"/>
          <w:sz w:val="21"/>
          <w:szCs w:val="21"/>
        </w:rPr>
        <w:t>Legal / Compliance</w:t>
      </w:r>
    </w:p>
    <w:p w14:paraId="677FEC0A">
      <w:pPr>
        <w:pStyle w:val="style0"/>
        <w:spacing w:before="60" w:after="40" w:lineRule="auto" w:line="420"/>
        <w:rPr>
          <w:rFonts w:ascii="RobotoStatic" w:cs="Zawgyi-One" w:hAnsi="Source Sans Pro"/>
        </w:rPr>
      </w:pPr>
      <w:r>
        <w:rPr>
          <w:rFonts w:ascii="RobotoStatic" w:cs="Zawgyi-One" w:hAnsi="Source Sans Pro"/>
          <w:b/>
          <w:bCs/>
        </w:rPr>
        <w:t>Purpose</w:t>
      </w:r>
    </w:p>
    <w:p w14:paraId="AE14EB87">
      <w:pPr>
        <w:pStyle w:val="style0"/>
        <w:spacing w:after="160" w:lineRule="auto" w:line="420"/>
        <w:rPr>
          <w:rFonts w:ascii="RobotoStatic" w:cs="Zawgyi-One" w:hAnsi="Source Sans Pro"/>
        </w:rPr>
      </w:pPr>
      <w:r>
        <w:rPr>
          <w:rFonts w:ascii="RobotoStatic" w:cs="Zawgyi-One" w:hAnsi="Source Sans Pro"/>
          <w:sz w:val="21"/>
          <w:szCs w:val="21"/>
        </w:rPr>
        <w:t>Provide regulatory and contractual advice and own the regulatory notification decision.</w:t>
      </w:r>
    </w:p>
    <w:p w14:paraId="76C52875">
      <w:pPr>
        <w:pStyle w:val="style0"/>
        <w:spacing w:before="60" w:after="40" w:lineRule="auto" w:line="420"/>
        <w:rPr>
          <w:rFonts w:ascii="RobotoStatic" w:cs="Zawgyi-One" w:hAnsi="Source Sans Pro"/>
        </w:rPr>
      </w:pPr>
      <w:r>
        <w:rPr>
          <w:rFonts w:ascii="RobotoStatic" w:cs="Zawgyi-One" w:hAnsi="Source Sans Pro"/>
          <w:b/>
          <w:bCs/>
        </w:rPr>
        <w:t>Key Governance Responsibilities</w:t>
      </w:r>
    </w:p>
    <w:p w14:paraId="C1DB9038">
      <w:pPr>
        <w:pStyle w:val="style179"/>
        <w:numPr>
          <w:ilvl w:val="0"/>
          <w:numId w:val="1"/>
        </w:numPr>
        <w:spacing w:after="80" w:lineRule="auto" w:line="420"/>
        <w:rPr>
          <w:rFonts w:ascii="RobotoStatic" w:cs="Zawgyi-One" w:hAnsi="Source Sans Pro"/>
        </w:rPr>
      </w:pPr>
      <w:r>
        <w:rPr>
          <w:rFonts w:ascii="RobotoStatic" w:cs="Zawgyi-One" w:hAnsi="Source Sans Pro"/>
          <w:sz w:val="21"/>
          <w:szCs w:val="21"/>
        </w:rPr>
        <w:t>Advise on regulatory obligations relevant to incidents and new initiatives</w:t>
      </w:r>
    </w:p>
    <w:p w14:paraId="F9AC87A3">
      <w:pPr>
        <w:pStyle w:val="style179"/>
        <w:numPr>
          <w:ilvl w:val="0"/>
          <w:numId w:val="1"/>
        </w:numPr>
        <w:spacing w:after="80" w:lineRule="auto" w:line="420"/>
        <w:rPr>
          <w:rFonts w:ascii="RobotoStatic" w:cs="Zawgyi-One" w:hAnsi="Source Sans Pro"/>
        </w:rPr>
      </w:pPr>
      <w:r>
        <w:rPr>
          <w:rFonts w:ascii="RobotoStatic" w:cs="Zawgyi-One" w:hAnsi="Source Sans Pro"/>
          <w:sz w:val="21"/>
          <w:szCs w:val="21"/>
        </w:rPr>
        <w:t>Make the final call on regulatory breach notification</w:t>
      </w:r>
    </w:p>
    <w:p w14:paraId="EE50AF91">
      <w:pPr>
        <w:pStyle w:val="style179"/>
        <w:numPr>
          <w:ilvl w:val="0"/>
          <w:numId w:val="1"/>
        </w:numPr>
        <w:spacing w:after="80" w:lineRule="auto" w:line="420"/>
        <w:rPr>
          <w:rFonts w:ascii="RobotoStatic" w:cs="Zawgyi-One" w:hAnsi="Source Sans Pro"/>
        </w:rPr>
      </w:pPr>
      <w:r>
        <w:rPr>
          <w:rFonts w:ascii="RobotoStatic" w:cs="Zawgyi-One" w:hAnsi="Source Sans Pro"/>
          <w:sz w:val="21"/>
          <w:szCs w:val="21"/>
        </w:rPr>
        <w:t>Review third-party and vendor contracts for security clauses</w:t>
      </w:r>
    </w:p>
    <w:p w14:paraId="2CB5AAA7">
      <w:pPr>
        <w:pStyle w:val="style179"/>
        <w:numPr>
          <w:ilvl w:val="0"/>
          <w:numId w:val="1"/>
        </w:numPr>
        <w:spacing w:after="80" w:lineRule="auto" w:line="420"/>
        <w:rPr>
          <w:rFonts w:ascii="RobotoStatic" w:cs="Zawgyi-One" w:hAnsi="Source Sans Pro"/>
        </w:rPr>
      </w:pPr>
      <w:r>
        <w:rPr>
          <w:rFonts w:ascii="RobotoStatic" w:cs="Zawgyi-One" w:hAnsi="Source Sans Pro"/>
          <w:sz w:val="21"/>
          <w:szCs w:val="21"/>
        </w:rPr>
        <w:t>Maintain evidence and legal-hold processes for incidents</w:t>
      </w:r>
    </w:p>
    <w:p w14:paraId="C3B28D59">
      <w:pPr>
        <w:pStyle w:val="style0"/>
        <w:spacing w:before="60" w:after="40" w:lineRule="auto" w:line="420"/>
        <w:rPr>
          <w:rFonts w:ascii="RobotoStatic" w:cs="Zawgyi-One" w:hAnsi="Source Sans Pro"/>
        </w:rPr>
      </w:pPr>
      <w:r>
        <w:rPr>
          <w:rFonts w:ascii="RobotoStatic" w:cs="Zawgyi-One" w:hAnsi="Source Sans Pro"/>
          <w:b/>
          <w:bCs/>
        </w:rPr>
        <w:t>Decision Authority</w:t>
      </w:r>
    </w:p>
    <w:p w14:paraId="75666DD9">
      <w:pPr>
        <w:pStyle w:val="style0"/>
        <w:spacing w:after="160" w:lineRule="auto" w:line="420"/>
        <w:rPr>
          <w:rFonts w:ascii="RobotoStatic" w:cs="Zawgyi-One" w:hAnsi="Source Sans Pro"/>
        </w:rPr>
      </w:pPr>
      <w:r>
        <w:rPr>
          <w:rFonts w:ascii="RobotoStatic" w:cs="Zawgyi-One" w:hAnsi="Source Sans Pro"/>
          <w:sz w:val="21"/>
          <w:szCs w:val="21"/>
        </w:rPr>
        <w:t>Accountable for regulatory notification decisions; approves contractual security terms.</w:t>
      </w:r>
    </w:p>
    <w:p w14:paraId="0B69AB7F">
      <w:pPr>
        <w:pStyle w:val="style0"/>
        <w:spacing w:before="60" w:after="40" w:lineRule="auto" w:line="420"/>
        <w:rPr>
          <w:rFonts w:ascii="RobotoStatic" w:cs="Zawgyi-One" w:hAnsi="Source Sans Pro"/>
        </w:rPr>
      </w:pPr>
      <w:r>
        <w:rPr>
          <w:rFonts w:ascii="RobotoStatic" w:cs="Zawgyi-One" w:hAnsi="Source Sans Pro"/>
          <w:b/>
          <w:bCs/>
        </w:rPr>
        <w:t>Reporting Obligations</w:t>
      </w:r>
    </w:p>
    <w:p w14:paraId="E38882F7">
      <w:pPr>
        <w:pStyle w:val="style0"/>
        <w:spacing w:after="160" w:lineRule="auto" w:line="420"/>
        <w:rPr>
          <w:rFonts w:ascii="RobotoStatic" w:cs="Zawgyi-One" w:hAnsi="Source Sans Pro"/>
        </w:rPr>
      </w:pPr>
      <w:r>
        <w:rPr>
          <w:rFonts w:ascii="RobotoStatic" w:cs="Zawgyi-One" w:hAnsi="Source Sans Pro"/>
          <w:sz w:val="21"/>
          <w:szCs w:val="21"/>
        </w:rPr>
        <w:t>Reports to CEO; advises Executive Security Council and Steering Committee.</w:t>
      </w:r>
    </w:p>
    <w:p w14:paraId="26DAC2F6">
      <w:pPr>
        <w:pStyle w:val="style0"/>
        <w:spacing w:before="60" w:after="40" w:lineRule="auto" w:line="420"/>
        <w:rPr>
          <w:rFonts w:ascii="RobotoStatic" w:cs="Zawgyi-One" w:hAnsi="Source Sans Pro"/>
        </w:rPr>
      </w:pPr>
      <w:r>
        <w:rPr>
          <w:rFonts w:ascii="RobotoStatic" w:cs="Zawgyi-One" w:hAnsi="Source Sans Pro"/>
          <w:b/>
          <w:bCs/>
        </w:rPr>
        <w:t>Performance Indicators</w:t>
      </w:r>
    </w:p>
    <w:p w14:paraId="E7238B3D">
      <w:pPr>
        <w:pStyle w:val="style179"/>
        <w:numPr>
          <w:ilvl w:val="0"/>
          <w:numId w:val="1"/>
        </w:numPr>
        <w:spacing w:after="80" w:lineRule="auto" w:line="420"/>
        <w:rPr>
          <w:rFonts w:ascii="RobotoStatic" w:cs="Zawgyi-One" w:hAnsi="Source Sans Pro"/>
        </w:rPr>
      </w:pPr>
      <w:r>
        <w:rPr>
          <w:rFonts w:ascii="RobotoStatic" w:cs="Zawgyi-One" w:hAnsi="Source Sans Pro"/>
          <w:sz w:val="21"/>
          <w:szCs w:val="21"/>
        </w:rPr>
        <w:t>Percentage of regulatory notifications made within statutory deadline</w:t>
      </w:r>
    </w:p>
    <w:p w14:paraId="DB8EBBB2">
      <w:pPr>
        <w:pStyle w:val="style179"/>
        <w:numPr>
          <w:ilvl w:val="0"/>
          <w:numId w:val="1"/>
        </w:numPr>
        <w:spacing w:after="80" w:lineRule="auto" w:line="420"/>
        <w:rPr>
          <w:rFonts w:ascii="RobotoStatic" w:cs="Zawgyi-One" w:hAnsi="Source Sans Pro"/>
        </w:rPr>
      </w:pPr>
      <w:r>
        <w:rPr>
          <w:rFonts w:ascii="RobotoStatic" w:cs="Zawgyi-One" w:hAnsi="Source Sans Pro"/>
          <w:sz w:val="21"/>
          <w:szCs w:val="21"/>
        </w:rPr>
        <w:t>Number of contracts executed without required security clause review</w:t>
      </w:r>
    </w:p>
    <w:p w14:paraId="298E422C">
      <w:pPr>
        <w:pStyle w:val="style3"/>
        <w:spacing w:before="200" w:after="100" w:lineRule="auto" w:line="420"/>
        <w:rPr>
          <w:rFonts w:ascii="RobotoStatic" w:cs="Zawgyi-One" w:hAnsi="Source Sans Pro"/>
          <w:color w:val="auto"/>
        </w:rPr>
      </w:pPr>
      <w:r>
        <w:rPr>
          <w:rFonts w:ascii="RobotoStatic" w:cs="Zawgyi-One" w:hAnsi="Source Sans Pro"/>
          <w:b/>
          <w:bCs/>
          <w:color w:val="auto"/>
          <w:sz w:val="21"/>
          <w:szCs w:val="21"/>
        </w:rPr>
        <w:t>Finance</w:t>
      </w:r>
    </w:p>
    <w:p w14:paraId="22AAD904">
      <w:pPr>
        <w:pStyle w:val="style0"/>
        <w:spacing w:before="60" w:after="40" w:lineRule="auto" w:line="420"/>
        <w:rPr>
          <w:rFonts w:ascii="RobotoStatic" w:cs="Zawgyi-One" w:hAnsi="Source Sans Pro"/>
        </w:rPr>
      </w:pPr>
      <w:r>
        <w:rPr>
          <w:rFonts w:ascii="RobotoStatic" w:cs="Zawgyi-One" w:hAnsi="Source Sans Pro"/>
          <w:b/>
          <w:bCs/>
        </w:rPr>
        <w:t>Purpose</w:t>
      </w:r>
    </w:p>
    <w:p w14:paraId="252D46E0">
      <w:pPr>
        <w:pStyle w:val="style0"/>
        <w:spacing w:after="160" w:lineRule="auto" w:line="420"/>
        <w:rPr>
          <w:rFonts w:ascii="RobotoStatic" w:cs="Zawgyi-One" w:hAnsi="Source Sans Pro"/>
        </w:rPr>
      </w:pPr>
      <w:r>
        <w:rPr>
          <w:rFonts w:ascii="RobotoStatic" w:cs="Zawgyi-One" w:hAnsi="Source Sans Pro"/>
          <w:sz w:val="21"/>
          <w:szCs w:val="21"/>
        </w:rPr>
        <w:t>Govern security investment and quantify financial exposure from cyber risk.</w:t>
      </w:r>
    </w:p>
    <w:p w14:paraId="C2507742">
      <w:pPr>
        <w:pStyle w:val="style0"/>
        <w:spacing w:before="60" w:after="40" w:lineRule="auto" w:line="420"/>
        <w:rPr>
          <w:rFonts w:ascii="RobotoStatic" w:cs="Zawgyi-One" w:hAnsi="Source Sans Pro"/>
        </w:rPr>
      </w:pPr>
      <w:r>
        <w:rPr>
          <w:rFonts w:ascii="RobotoStatic" w:cs="Zawgyi-One" w:hAnsi="Source Sans Pro"/>
          <w:b/>
          <w:bCs/>
        </w:rPr>
        <w:t>Key Governance Responsibilities</w:t>
      </w:r>
    </w:p>
    <w:p w14:paraId="96421221">
      <w:pPr>
        <w:pStyle w:val="style179"/>
        <w:numPr>
          <w:ilvl w:val="0"/>
          <w:numId w:val="1"/>
        </w:numPr>
        <w:spacing w:after="80" w:lineRule="auto" w:line="420"/>
        <w:rPr>
          <w:rFonts w:ascii="RobotoStatic" w:cs="Zawgyi-One" w:hAnsi="Source Sans Pro"/>
        </w:rPr>
      </w:pPr>
      <w:r>
        <w:rPr>
          <w:rFonts w:ascii="RobotoStatic" w:cs="Zawgyi-One" w:hAnsi="Source Sans Pro"/>
          <w:sz w:val="21"/>
          <w:szCs w:val="21"/>
        </w:rPr>
        <w:t>Approve and track security budget execution</w:t>
      </w:r>
    </w:p>
    <w:p w14:paraId="70CCD015">
      <w:pPr>
        <w:pStyle w:val="style179"/>
        <w:numPr>
          <w:ilvl w:val="0"/>
          <w:numId w:val="1"/>
        </w:numPr>
        <w:spacing w:after="80" w:lineRule="auto" w:line="420"/>
        <w:rPr>
          <w:rFonts w:ascii="RobotoStatic" w:cs="Zawgyi-One" w:hAnsi="Source Sans Pro"/>
        </w:rPr>
      </w:pPr>
      <w:r>
        <w:rPr>
          <w:rFonts w:ascii="RobotoStatic" w:cs="Zawgyi-One" w:hAnsi="Source Sans Pro"/>
          <w:sz w:val="21"/>
          <w:szCs w:val="21"/>
        </w:rPr>
        <w:t>Model financial impact of risk scenarios for Executive Council decisions</w:t>
      </w:r>
    </w:p>
    <w:p w14:paraId="5440F6CD">
      <w:pPr>
        <w:pStyle w:val="style179"/>
        <w:numPr>
          <w:ilvl w:val="0"/>
          <w:numId w:val="1"/>
        </w:numPr>
        <w:spacing w:after="80" w:lineRule="auto" w:line="420"/>
        <w:rPr>
          <w:rFonts w:ascii="RobotoStatic" w:cs="Zawgyi-One" w:hAnsi="Source Sans Pro"/>
        </w:rPr>
      </w:pPr>
      <w:r>
        <w:rPr>
          <w:rFonts w:ascii="RobotoStatic" w:cs="Zawgyi-One" w:hAnsi="Source Sans Pro"/>
          <w:sz w:val="21"/>
          <w:szCs w:val="21"/>
        </w:rPr>
        <w:t>Manage cyber-insurance relationship and claims</w:t>
      </w:r>
    </w:p>
    <w:p w14:paraId="277C9364">
      <w:pPr>
        <w:pStyle w:val="style179"/>
        <w:numPr>
          <w:ilvl w:val="0"/>
          <w:numId w:val="1"/>
        </w:numPr>
        <w:spacing w:after="80" w:lineRule="auto" w:line="420"/>
        <w:rPr>
          <w:rFonts w:ascii="RobotoStatic" w:cs="Zawgyi-One" w:hAnsi="Source Sans Pro"/>
        </w:rPr>
      </w:pPr>
      <w:r>
        <w:rPr>
          <w:rFonts w:ascii="RobotoStatic" w:cs="Zawgyi-One" w:hAnsi="Source Sans Pro"/>
          <w:sz w:val="21"/>
          <w:szCs w:val="21"/>
        </w:rPr>
        <w:t>Report control-related capital and operating expenditure</w:t>
      </w:r>
    </w:p>
    <w:p w14:paraId="03F8759B">
      <w:pPr>
        <w:pStyle w:val="style0"/>
        <w:spacing w:before="60" w:after="40" w:lineRule="auto" w:line="420"/>
        <w:rPr>
          <w:rFonts w:ascii="RobotoStatic" w:cs="Zawgyi-One" w:hAnsi="Source Sans Pro"/>
        </w:rPr>
      </w:pPr>
      <w:r>
        <w:rPr>
          <w:rFonts w:ascii="RobotoStatic" w:cs="Zawgyi-One" w:hAnsi="Source Sans Pro"/>
          <w:b/>
          <w:bCs/>
        </w:rPr>
        <w:t>Decision Authority</w:t>
      </w:r>
    </w:p>
    <w:p w14:paraId="B2C0870E">
      <w:pPr>
        <w:pStyle w:val="style0"/>
        <w:spacing w:after="160" w:lineRule="auto" w:line="420"/>
        <w:rPr>
          <w:rFonts w:ascii="RobotoStatic" w:cs="Zawgyi-One" w:hAnsi="Source Sans Pro"/>
        </w:rPr>
      </w:pPr>
      <w:r>
        <w:rPr>
          <w:rFonts w:ascii="RobotoStatic" w:cs="Zawgyi-One" w:hAnsi="Source Sans Pro"/>
          <w:sz w:val="21"/>
          <w:szCs w:val="21"/>
        </w:rPr>
        <w:t>Approves budget release against CEO-endorsed requests; escalates unbudgeted spend above delegated authority.</w:t>
      </w:r>
    </w:p>
    <w:p w14:paraId="92A965B8">
      <w:pPr>
        <w:pStyle w:val="style0"/>
        <w:spacing w:before="60" w:after="40" w:lineRule="auto" w:line="420"/>
        <w:rPr>
          <w:rFonts w:ascii="RobotoStatic" w:cs="Zawgyi-One" w:hAnsi="Source Sans Pro"/>
        </w:rPr>
      </w:pPr>
      <w:r>
        <w:rPr>
          <w:rFonts w:ascii="RobotoStatic" w:cs="Zawgyi-One" w:hAnsi="Source Sans Pro"/>
          <w:b/>
          <w:bCs/>
        </w:rPr>
        <w:t>Reporting Obligations</w:t>
      </w:r>
    </w:p>
    <w:p w14:paraId="D11A6260">
      <w:pPr>
        <w:pStyle w:val="style0"/>
        <w:spacing w:after="160" w:lineRule="auto" w:line="420"/>
        <w:rPr>
          <w:rFonts w:ascii="RobotoStatic" w:cs="Zawgyi-One" w:hAnsi="Source Sans Pro"/>
        </w:rPr>
      </w:pPr>
      <w:r>
        <w:rPr>
          <w:rFonts w:ascii="RobotoStatic" w:cs="Zawgyi-One" w:hAnsi="Source Sans Pro"/>
          <w:sz w:val="21"/>
          <w:szCs w:val="21"/>
        </w:rPr>
        <w:t>Reports to CEO/Board Audit Committee; coordinates with CISO on investment prioritisation.</w:t>
      </w:r>
    </w:p>
    <w:p w14:paraId="D78CE446">
      <w:pPr>
        <w:pStyle w:val="style0"/>
        <w:spacing w:before="60" w:after="40" w:lineRule="auto" w:line="420"/>
        <w:rPr>
          <w:rFonts w:ascii="RobotoStatic" w:cs="Zawgyi-One" w:hAnsi="Source Sans Pro"/>
        </w:rPr>
      </w:pPr>
      <w:r>
        <w:rPr>
          <w:rFonts w:ascii="RobotoStatic" w:cs="Zawgyi-One" w:hAnsi="Source Sans Pro"/>
          <w:b/>
          <w:bCs/>
        </w:rPr>
        <w:t>Performance Indicators</w:t>
      </w:r>
    </w:p>
    <w:p w14:paraId="88111CCF">
      <w:pPr>
        <w:pStyle w:val="style179"/>
        <w:numPr>
          <w:ilvl w:val="0"/>
          <w:numId w:val="1"/>
        </w:numPr>
        <w:spacing w:after="80" w:lineRule="auto" w:line="420"/>
        <w:rPr>
          <w:rFonts w:ascii="RobotoStatic" w:cs="Zawgyi-One" w:hAnsi="Source Sans Pro"/>
        </w:rPr>
      </w:pPr>
      <w:r>
        <w:rPr>
          <w:rFonts w:ascii="RobotoStatic" w:cs="Zawgyi-One" w:hAnsi="Source Sans Pro"/>
          <w:sz w:val="21"/>
          <w:szCs w:val="21"/>
        </w:rPr>
        <w:t>Budget variance against approved security spend</w:t>
      </w:r>
    </w:p>
    <w:p w14:paraId="440D5D3B">
      <w:pPr>
        <w:pStyle w:val="style179"/>
        <w:numPr>
          <w:ilvl w:val="0"/>
          <w:numId w:val="1"/>
        </w:numPr>
        <w:spacing w:after="80" w:lineRule="auto" w:line="420"/>
        <w:rPr>
          <w:rFonts w:ascii="RobotoStatic" w:cs="Zawgyi-One" w:hAnsi="Source Sans Pro"/>
        </w:rPr>
      </w:pPr>
      <w:r>
        <w:rPr>
          <w:rFonts w:ascii="RobotoStatic" w:cs="Zawgyi-One" w:hAnsi="Source Sans Pro"/>
          <w:sz w:val="21"/>
          <w:szCs w:val="21"/>
        </w:rPr>
        <w:t>Time to release emergency remediation funding</w:t>
      </w:r>
    </w:p>
    <w:p w14:paraId="9A070843">
      <w:pPr>
        <w:pStyle w:val="style3"/>
        <w:spacing w:before="200" w:after="100" w:lineRule="auto" w:line="420"/>
        <w:rPr>
          <w:rFonts w:ascii="RobotoStatic" w:cs="Zawgyi-One" w:hAnsi="Source Sans Pro"/>
          <w:color w:val="auto"/>
        </w:rPr>
      </w:pPr>
      <w:r>
        <w:rPr>
          <w:rFonts w:ascii="RobotoStatic" w:cs="Zawgyi-One" w:hAnsi="Source Sans Pro"/>
          <w:b/>
          <w:bCs/>
          <w:color w:val="auto"/>
          <w:sz w:val="21"/>
          <w:szCs w:val="21"/>
        </w:rPr>
        <w:t>Human Resources</w:t>
      </w:r>
    </w:p>
    <w:p w14:paraId="72129DA2">
      <w:pPr>
        <w:pStyle w:val="style0"/>
        <w:spacing w:before="60" w:after="40" w:lineRule="auto" w:line="420"/>
        <w:rPr>
          <w:rFonts w:ascii="RobotoStatic" w:cs="Zawgyi-One" w:hAnsi="Source Sans Pro"/>
        </w:rPr>
      </w:pPr>
      <w:r>
        <w:rPr>
          <w:rFonts w:ascii="RobotoStatic" w:cs="Zawgyi-One" w:hAnsi="Source Sans Pro"/>
          <w:b/>
          <w:bCs/>
        </w:rPr>
        <w:t>Purpose</w:t>
      </w:r>
    </w:p>
    <w:p w14:paraId="7DC07E60">
      <w:pPr>
        <w:pStyle w:val="style0"/>
        <w:spacing w:after="160" w:lineRule="auto" w:line="420"/>
        <w:rPr>
          <w:rFonts w:ascii="RobotoStatic" w:cs="Zawgyi-One" w:hAnsi="Source Sans Pro"/>
        </w:rPr>
      </w:pPr>
      <w:r>
        <w:rPr>
          <w:rFonts w:ascii="RobotoStatic" w:cs="Zawgyi-One" w:hAnsi="Source Sans Pro"/>
          <w:sz w:val="21"/>
          <w:szCs w:val="21"/>
        </w:rPr>
        <w:t>Govern people-related security controls across the employee lifecycle.</w:t>
      </w:r>
    </w:p>
    <w:p w14:paraId="C59B9D13">
      <w:pPr>
        <w:pStyle w:val="style0"/>
        <w:spacing w:before="60" w:after="40" w:lineRule="auto" w:line="420"/>
        <w:rPr>
          <w:rFonts w:ascii="RobotoStatic" w:cs="Zawgyi-One" w:hAnsi="Source Sans Pro"/>
        </w:rPr>
      </w:pPr>
      <w:r>
        <w:rPr>
          <w:rFonts w:ascii="RobotoStatic" w:cs="Zawgyi-One" w:hAnsi="Source Sans Pro"/>
          <w:b/>
          <w:bCs/>
        </w:rPr>
        <w:t>Key Governance Responsibilities</w:t>
      </w:r>
    </w:p>
    <w:p w14:paraId="260ED665">
      <w:pPr>
        <w:pStyle w:val="style179"/>
        <w:numPr>
          <w:ilvl w:val="0"/>
          <w:numId w:val="1"/>
        </w:numPr>
        <w:spacing w:after="80" w:lineRule="auto" w:line="420"/>
        <w:rPr>
          <w:rFonts w:ascii="RobotoStatic" w:cs="Zawgyi-One" w:hAnsi="Source Sans Pro"/>
        </w:rPr>
      </w:pPr>
      <w:r>
        <w:rPr>
          <w:rFonts w:ascii="RobotoStatic" w:cs="Zawgyi-One" w:hAnsi="Source Sans Pro"/>
          <w:sz w:val="21"/>
          <w:szCs w:val="21"/>
        </w:rPr>
        <w:t>Execute joiner/mover/leaver access-change triggers</w:t>
      </w:r>
    </w:p>
    <w:p w14:paraId="51E9BD61">
      <w:pPr>
        <w:pStyle w:val="style179"/>
        <w:numPr>
          <w:ilvl w:val="0"/>
          <w:numId w:val="1"/>
        </w:numPr>
        <w:spacing w:after="80" w:lineRule="auto" w:line="420"/>
        <w:rPr>
          <w:rFonts w:ascii="RobotoStatic" w:cs="Zawgyi-One" w:hAnsi="Source Sans Pro"/>
        </w:rPr>
      </w:pPr>
      <w:r>
        <w:rPr>
          <w:rFonts w:ascii="RobotoStatic" w:cs="Zawgyi-One" w:hAnsi="Source Sans Pro"/>
          <w:sz w:val="21"/>
          <w:szCs w:val="21"/>
        </w:rPr>
        <w:t>Run the security awareness and phishing-simulation programme</w:t>
      </w:r>
    </w:p>
    <w:p w14:paraId="96FFB47A">
      <w:pPr>
        <w:pStyle w:val="style179"/>
        <w:numPr>
          <w:ilvl w:val="0"/>
          <w:numId w:val="1"/>
        </w:numPr>
        <w:spacing w:after="80" w:lineRule="auto" w:line="420"/>
        <w:rPr>
          <w:rFonts w:ascii="RobotoStatic" w:cs="Zawgyi-One" w:hAnsi="Source Sans Pro"/>
        </w:rPr>
      </w:pPr>
      <w:r>
        <w:rPr>
          <w:rFonts w:ascii="RobotoStatic" w:cs="Zawgyi-One" w:hAnsi="Source Sans Pro"/>
          <w:sz w:val="21"/>
          <w:szCs w:val="21"/>
        </w:rPr>
        <w:t>Manage disciplinary process for policy breaches</w:t>
      </w:r>
    </w:p>
    <w:p w14:paraId="32D36177">
      <w:pPr>
        <w:pStyle w:val="style179"/>
        <w:numPr>
          <w:ilvl w:val="0"/>
          <w:numId w:val="1"/>
        </w:numPr>
        <w:spacing w:after="80" w:lineRule="auto" w:line="420"/>
        <w:rPr>
          <w:rFonts w:ascii="RobotoStatic" w:cs="Zawgyi-One" w:hAnsi="Source Sans Pro"/>
        </w:rPr>
      </w:pPr>
      <w:r>
        <w:rPr>
          <w:rFonts w:ascii="RobotoStatic" w:cs="Zawgyi-One" w:hAnsi="Source Sans Pro"/>
          <w:sz w:val="21"/>
          <w:szCs w:val="21"/>
        </w:rPr>
        <w:t>Support background-check and role-sensitivity requirements</w:t>
      </w:r>
    </w:p>
    <w:p w14:paraId="A72F915C">
      <w:pPr>
        <w:pStyle w:val="style0"/>
        <w:spacing w:before="60" w:after="40" w:lineRule="auto" w:line="420"/>
        <w:rPr>
          <w:rFonts w:ascii="RobotoStatic" w:cs="Zawgyi-One" w:hAnsi="Source Sans Pro"/>
        </w:rPr>
      </w:pPr>
      <w:r>
        <w:rPr>
          <w:rFonts w:ascii="RobotoStatic" w:cs="Zawgyi-One" w:hAnsi="Source Sans Pro"/>
          <w:b/>
          <w:bCs/>
        </w:rPr>
        <w:t>Decision Authority</w:t>
      </w:r>
    </w:p>
    <w:p w14:paraId="60F95705">
      <w:pPr>
        <w:pStyle w:val="style0"/>
        <w:spacing w:after="160" w:lineRule="auto" w:line="420"/>
        <w:rPr>
          <w:rFonts w:ascii="RobotoStatic" w:cs="Zawgyi-One" w:hAnsi="Source Sans Pro"/>
        </w:rPr>
      </w:pPr>
      <w:r>
        <w:rPr>
          <w:rFonts w:ascii="RobotoStatic" w:cs="Zawgyi-One" w:hAnsi="Source Sans Pro"/>
          <w:sz w:val="21"/>
          <w:szCs w:val="21"/>
        </w:rPr>
        <w:t>Owns HR process controls; accountable for on-time execution of access-change triggers.</w:t>
      </w:r>
    </w:p>
    <w:p w14:paraId="9860AD42">
      <w:pPr>
        <w:pStyle w:val="style0"/>
        <w:spacing w:before="60" w:after="40" w:lineRule="auto" w:line="420"/>
        <w:rPr>
          <w:rFonts w:ascii="RobotoStatic" w:cs="Zawgyi-One" w:hAnsi="Source Sans Pro"/>
        </w:rPr>
      </w:pPr>
      <w:r>
        <w:rPr>
          <w:rFonts w:ascii="RobotoStatic" w:cs="Zawgyi-One" w:hAnsi="Source Sans Pro"/>
          <w:b/>
          <w:bCs/>
        </w:rPr>
        <w:t>Reporting Obligations</w:t>
      </w:r>
    </w:p>
    <w:p w14:paraId="EBE63BEE">
      <w:pPr>
        <w:pStyle w:val="style0"/>
        <w:spacing w:after="160" w:lineRule="auto" w:line="420"/>
        <w:rPr>
          <w:rFonts w:ascii="RobotoStatic" w:cs="Zawgyi-One" w:hAnsi="Source Sans Pro"/>
        </w:rPr>
      </w:pPr>
      <w:r>
        <w:rPr>
          <w:rFonts w:ascii="RobotoStatic" w:cs="Zawgyi-One" w:hAnsi="Source Sans Pro"/>
          <w:sz w:val="21"/>
          <w:szCs w:val="21"/>
        </w:rPr>
        <w:t>Reports to CEO; coordinates programme content with CISO.</w:t>
      </w:r>
    </w:p>
    <w:p w14:paraId="1A3E7A4F">
      <w:pPr>
        <w:pStyle w:val="style0"/>
        <w:spacing w:before="60" w:after="40" w:lineRule="auto" w:line="420"/>
        <w:rPr>
          <w:rFonts w:ascii="RobotoStatic" w:cs="Zawgyi-One" w:hAnsi="Source Sans Pro"/>
        </w:rPr>
      </w:pPr>
      <w:r>
        <w:rPr>
          <w:rFonts w:ascii="RobotoStatic" w:cs="Zawgyi-One" w:hAnsi="Source Sans Pro"/>
          <w:b/>
          <w:bCs/>
        </w:rPr>
        <w:t>Performance Indicators</w:t>
      </w:r>
    </w:p>
    <w:p w14:paraId="3938D5A1">
      <w:pPr>
        <w:pStyle w:val="style179"/>
        <w:numPr>
          <w:ilvl w:val="0"/>
          <w:numId w:val="1"/>
        </w:numPr>
        <w:spacing w:after="80" w:lineRule="auto" w:line="420"/>
        <w:rPr>
          <w:rFonts w:ascii="RobotoStatic" w:cs="Zawgyi-One" w:hAnsi="Source Sans Pro"/>
        </w:rPr>
      </w:pPr>
      <w:r>
        <w:rPr>
          <w:rFonts w:ascii="RobotoStatic" w:cs="Zawgyi-One" w:hAnsi="Source Sans Pro"/>
          <w:sz w:val="21"/>
          <w:szCs w:val="21"/>
        </w:rPr>
        <w:t>Percentage of leaver access revoked within 24 hours</w:t>
      </w:r>
    </w:p>
    <w:p w14:paraId="7B7883D1">
      <w:pPr>
        <w:pStyle w:val="style179"/>
        <w:numPr>
          <w:ilvl w:val="0"/>
          <w:numId w:val="1"/>
        </w:numPr>
        <w:spacing w:after="80" w:lineRule="auto" w:line="420"/>
        <w:rPr>
          <w:rFonts w:ascii="RobotoStatic" w:cs="Zawgyi-One" w:hAnsi="Source Sans Pro"/>
        </w:rPr>
      </w:pPr>
      <w:r>
        <w:rPr>
          <w:rFonts w:ascii="RobotoStatic" w:cs="Zawgyi-One" w:hAnsi="Source Sans Pro"/>
          <w:sz w:val="21"/>
          <w:szCs w:val="21"/>
        </w:rPr>
        <w:t>Security awareness completion and phishing-simulation click rate</w:t>
      </w:r>
    </w:p>
    <w:p w14:paraId="2907525D">
      <w:pPr>
        <w:pStyle w:val="style3"/>
        <w:spacing w:before="200" w:after="100" w:lineRule="auto" w:line="420"/>
        <w:rPr>
          <w:rFonts w:ascii="RobotoStatic" w:cs="Zawgyi-One" w:hAnsi="Source Sans Pro"/>
          <w:color w:val="auto"/>
        </w:rPr>
      </w:pPr>
      <w:r>
        <w:rPr>
          <w:rFonts w:ascii="RobotoStatic" w:cs="Zawgyi-One" w:hAnsi="Source Sans Pro"/>
          <w:b/>
          <w:bCs/>
          <w:color w:val="auto"/>
          <w:sz w:val="21"/>
          <w:szCs w:val="21"/>
        </w:rPr>
        <w:t>IT / Technology</w:t>
      </w:r>
    </w:p>
    <w:p w14:paraId="17EBF5EF">
      <w:pPr>
        <w:pStyle w:val="style0"/>
        <w:spacing w:before="60" w:after="40" w:lineRule="auto" w:line="420"/>
        <w:rPr>
          <w:rFonts w:ascii="RobotoStatic" w:cs="Zawgyi-One" w:hAnsi="Source Sans Pro"/>
        </w:rPr>
      </w:pPr>
      <w:r>
        <w:rPr>
          <w:rFonts w:ascii="RobotoStatic" w:cs="Zawgyi-One" w:hAnsi="Source Sans Pro"/>
          <w:b/>
          <w:bCs/>
        </w:rPr>
        <w:t>Purpose</w:t>
      </w:r>
    </w:p>
    <w:p w14:paraId="04FACB86">
      <w:pPr>
        <w:pStyle w:val="style0"/>
        <w:spacing w:after="160" w:lineRule="auto" w:line="420"/>
        <w:rPr>
          <w:rFonts w:ascii="RobotoStatic" w:cs="Zawgyi-One" w:hAnsi="Source Sans Pro"/>
        </w:rPr>
      </w:pPr>
      <w:r>
        <w:rPr>
          <w:rFonts w:ascii="RobotoStatic" w:cs="Zawgyi-One" w:hAnsi="Source Sans Pro"/>
          <w:sz w:val="21"/>
          <w:szCs w:val="21"/>
        </w:rPr>
        <w:t>Design, implement and operate technical security controls and infrastructure under CISO-set policy.</w:t>
      </w:r>
    </w:p>
    <w:p w14:paraId="819A9699">
      <w:pPr>
        <w:pStyle w:val="style0"/>
        <w:spacing w:before="60" w:after="40" w:lineRule="auto" w:line="420"/>
        <w:rPr>
          <w:rFonts w:ascii="RobotoStatic" w:cs="Zawgyi-One" w:hAnsi="Source Sans Pro"/>
        </w:rPr>
      </w:pPr>
      <w:r>
        <w:rPr>
          <w:rFonts w:ascii="RobotoStatic" w:cs="Zawgyi-One" w:hAnsi="Source Sans Pro"/>
          <w:b/>
          <w:bCs/>
        </w:rPr>
        <w:t>Key Governance Responsibilities</w:t>
      </w:r>
    </w:p>
    <w:p w14:paraId="4A20B5E4">
      <w:pPr>
        <w:pStyle w:val="style179"/>
        <w:numPr>
          <w:ilvl w:val="0"/>
          <w:numId w:val="1"/>
        </w:numPr>
        <w:spacing w:after="80" w:lineRule="auto" w:line="420"/>
        <w:rPr>
          <w:rFonts w:ascii="RobotoStatic" w:cs="Zawgyi-One" w:hAnsi="Source Sans Pro"/>
        </w:rPr>
      </w:pPr>
      <w:r>
        <w:rPr>
          <w:rFonts w:ascii="RobotoStatic" w:cs="Zawgyi-One" w:hAnsi="Source Sans Pro"/>
          <w:sz w:val="21"/>
          <w:szCs w:val="21"/>
        </w:rPr>
        <w:t>Implement approved security architecture and controls</w:t>
      </w:r>
    </w:p>
    <w:p w14:paraId="7B53EC3D">
      <w:pPr>
        <w:pStyle w:val="style179"/>
        <w:numPr>
          <w:ilvl w:val="0"/>
          <w:numId w:val="1"/>
        </w:numPr>
        <w:spacing w:after="80" w:lineRule="auto" w:line="420"/>
        <w:rPr>
          <w:rFonts w:ascii="RobotoStatic" w:cs="Zawgyi-One" w:hAnsi="Source Sans Pro"/>
        </w:rPr>
      </w:pPr>
      <w:r>
        <w:rPr>
          <w:rFonts w:ascii="RobotoStatic" w:cs="Zawgyi-One" w:hAnsi="Source Sans Pro"/>
          <w:sz w:val="21"/>
          <w:szCs w:val="21"/>
        </w:rPr>
        <w:t>Operate first-line monitoring and initial incident triage</w:t>
      </w:r>
    </w:p>
    <w:p w14:paraId="99A9CFE3">
      <w:pPr>
        <w:pStyle w:val="style179"/>
        <w:numPr>
          <w:ilvl w:val="0"/>
          <w:numId w:val="1"/>
        </w:numPr>
        <w:spacing w:after="80" w:lineRule="auto" w:line="420"/>
        <w:rPr>
          <w:rFonts w:ascii="RobotoStatic" w:cs="Zawgyi-One" w:hAnsi="Source Sans Pro"/>
        </w:rPr>
      </w:pPr>
      <w:r>
        <w:rPr>
          <w:rFonts w:ascii="RobotoStatic" w:cs="Zawgyi-One" w:hAnsi="Source Sans Pro"/>
          <w:sz w:val="21"/>
          <w:szCs w:val="21"/>
        </w:rPr>
        <w:t>Execute vulnerability remediation against CISO-set SLAs</w:t>
      </w:r>
    </w:p>
    <w:p w14:paraId="CF11B407">
      <w:pPr>
        <w:pStyle w:val="style179"/>
        <w:numPr>
          <w:ilvl w:val="0"/>
          <w:numId w:val="1"/>
        </w:numPr>
        <w:spacing w:after="80" w:lineRule="auto" w:line="420"/>
        <w:rPr>
          <w:rFonts w:ascii="RobotoStatic" w:cs="Zawgyi-One" w:hAnsi="Source Sans Pro"/>
        </w:rPr>
      </w:pPr>
      <w:r>
        <w:rPr>
          <w:rFonts w:ascii="RobotoStatic" w:cs="Zawgyi-One" w:hAnsi="Source Sans Pro"/>
          <w:sz w:val="21"/>
          <w:szCs w:val="21"/>
        </w:rPr>
        <w:t>Maintain system and access administration</w:t>
      </w:r>
    </w:p>
    <w:p w14:paraId="E8CAD8AA">
      <w:pPr>
        <w:pStyle w:val="style0"/>
        <w:spacing w:before="60" w:after="40" w:lineRule="auto" w:line="420"/>
        <w:rPr>
          <w:rFonts w:ascii="RobotoStatic" w:cs="Zawgyi-One" w:hAnsi="Source Sans Pro"/>
        </w:rPr>
      </w:pPr>
      <w:r>
        <w:rPr>
          <w:rFonts w:ascii="RobotoStatic" w:cs="Zawgyi-One" w:hAnsi="Source Sans Pro"/>
          <w:b/>
          <w:bCs/>
        </w:rPr>
        <w:t>Decision Authority</w:t>
      </w:r>
    </w:p>
    <w:p w14:paraId="91B31AD7">
      <w:pPr>
        <w:pStyle w:val="style0"/>
        <w:spacing w:after="160" w:lineRule="auto" w:line="420"/>
        <w:rPr>
          <w:rFonts w:ascii="RobotoStatic" w:cs="Zawgyi-One" w:hAnsi="Source Sans Pro"/>
        </w:rPr>
      </w:pPr>
      <w:r>
        <w:rPr>
          <w:rFonts w:ascii="RobotoStatic" w:cs="Zawgyi-One" w:hAnsi="Source Sans Pro"/>
          <w:sz w:val="21"/>
          <w:szCs w:val="21"/>
        </w:rPr>
        <w:t>Implements within approved standards; escalates architecture exceptions and unresolved risk to CISO.</w:t>
      </w:r>
    </w:p>
    <w:p w14:paraId="93BDF779">
      <w:pPr>
        <w:pStyle w:val="style0"/>
        <w:spacing w:before="60" w:after="40" w:lineRule="auto" w:line="420"/>
        <w:rPr>
          <w:rFonts w:ascii="RobotoStatic" w:cs="Zawgyi-One" w:hAnsi="Source Sans Pro"/>
        </w:rPr>
      </w:pPr>
      <w:r>
        <w:rPr>
          <w:rFonts w:ascii="RobotoStatic" w:cs="Zawgyi-One" w:hAnsi="Source Sans Pro"/>
          <w:b/>
          <w:bCs/>
        </w:rPr>
        <w:t>Reporting Obligations</w:t>
      </w:r>
    </w:p>
    <w:p w14:paraId="C878EF0A">
      <w:pPr>
        <w:pStyle w:val="style0"/>
        <w:spacing w:after="160" w:lineRule="auto" w:line="420"/>
        <w:rPr>
          <w:rFonts w:ascii="RobotoStatic" w:cs="Zawgyi-One" w:hAnsi="Source Sans Pro"/>
        </w:rPr>
      </w:pPr>
      <w:r>
        <w:rPr>
          <w:rFonts w:ascii="RobotoStatic" w:cs="Zawgyi-One" w:hAnsi="Source Sans Pro"/>
          <w:sz w:val="21"/>
          <w:szCs w:val="21"/>
        </w:rPr>
        <w:t>Reports operationally to CIO/COO and functionally to CISO on security matters.</w:t>
      </w:r>
    </w:p>
    <w:p w14:paraId="0130A761">
      <w:pPr>
        <w:pStyle w:val="style0"/>
        <w:spacing w:before="60" w:after="40" w:lineRule="auto" w:line="420"/>
        <w:rPr>
          <w:rFonts w:ascii="RobotoStatic" w:cs="Zawgyi-One" w:hAnsi="Source Sans Pro"/>
        </w:rPr>
      </w:pPr>
      <w:r>
        <w:rPr>
          <w:rFonts w:ascii="RobotoStatic" w:cs="Zawgyi-One" w:hAnsi="Source Sans Pro"/>
          <w:b/>
          <w:bCs/>
        </w:rPr>
        <w:t>Performance Indicators</w:t>
      </w:r>
    </w:p>
    <w:p w14:paraId="18BA39EB">
      <w:pPr>
        <w:pStyle w:val="style179"/>
        <w:numPr>
          <w:ilvl w:val="0"/>
          <w:numId w:val="1"/>
        </w:numPr>
        <w:spacing w:after="80" w:lineRule="auto" w:line="420"/>
        <w:rPr>
          <w:rFonts w:ascii="RobotoStatic" w:cs="Zawgyi-One" w:hAnsi="Source Sans Pro"/>
        </w:rPr>
      </w:pPr>
      <w:r>
        <w:rPr>
          <w:rFonts w:ascii="RobotoStatic" w:cs="Zawgyi-One" w:hAnsi="Source Sans Pro"/>
          <w:sz w:val="21"/>
          <w:szCs w:val="21"/>
        </w:rPr>
        <w:t>Patch/vulnerability remediation SLA compliance</w:t>
      </w:r>
    </w:p>
    <w:p w14:paraId="C9343BA1">
      <w:pPr>
        <w:pStyle w:val="style179"/>
        <w:numPr>
          <w:ilvl w:val="0"/>
          <w:numId w:val="1"/>
        </w:numPr>
        <w:spacing w:after="80" w:lineRule="auto" w:line="420"/>
        <w:rPr>
          <w:rFonts w:ascii="RobotoStatic" w:cs="Zawgyi-One" w:hAnsi="Source Sans Pro"/>
        </w:rPr>
      </w:pPr>
      <w:r>
        <w:rPr>
          <w:rFonts w:ascii="RobotoStatic" w:cs="Zawgyi-One" w:hAnsi="Source Sans Pro"/>
          <w:sz w:val="21"/>
          <w:szCs w:val="21"/>
        </w:rPr>
        <w:t>Mean time to contain a triaged incident</w:t>
      </w:r>
    </w:p>
    <w:p w14:paraId="DF4992ED">
      <w:pPr>
        <w:pStyle w:val="style2"/>
        <w:spacing w:before="280" w:after="140" w:lineRule="auto" w:line="420"/>
        <w:rPr>
          <w:rFonts w:ascii="RobotoStatic" w:cs="Zawgyi-One" w:hAnsi="Source Sans Pro"/>
          <w:color w:val="auto"/>
        </w:rPr>
      </w:pPr>
      <w:r>
        <w:rPr>
          <w:rFonts w:ascii="RobotoStatic" w:cs="Zawgyi-One" w:hAnsi="Source Sans Pro"/>
          <w:b/>
          <w:bCs/>
          <w:color w:val="auto"/>
          <w:sz w:val="24"/>
          <w:szCs w:val="24"/>
        </w:rPr>
        <w:t>2.3 Conflict-Resolution Note</w:t>
      </w:r>
    </w:p>
    <w:p w14:paraId="CA7CC042">
      <w:pPr>
        <w:pStyle w:val="style0"/>
        <w:spacing w:after="160" w:lineRule="auto" w:line="420"/>
        <w:rPr>
          <w:rFonts w:ascii="RobotoStatic" w:cs="Zawgyi-One" w:hAnsi="Source Sans Pro"/>
        </w:rPr>
      </w:pPr>
      <w:r>
        <w:rPr>
          <w:rFonts w:ascii="RobotoStatic" w:cs="Zawgyi-One" w:hAnsi="Source Sans Pro"/>
          <w:sz w:val="21"/>
          <w:szCs w:val="21"/>
        </w:rPr>
        <w:t>Assigning explicit responsibility inevitably surfaces areas where two roles have a legitimate claim to the same decision. Three such areas, and the principle used to resolve each, are set out below.</w:t>
      </w:r>
    </w:p>
    <w:p w14:paraId="D81B9A9D">
      <w:pPr>
        <w:pStyle w:val="style0"/>
        <w:spacing w:before="60" w:after="40" w:lineRule="auto" w:line="420"/>
        <w:rPr>
          <w:rFonts w:ascii="RobotoStatic" w:cs="Zawgyi-One" w:hAnsi="Source Sans Pro"/>
        </w:rPr>
      </w:pPr>
      <w:r>
        <w:rPr>
          <w:rFonts w:ascii="RobotoStatic" w:cs="Zawgyi-One" w:hAnsi="Source Sans Pro"/>
          <w:b/>
          <w:bCs/>
        </w:rPr>
        <w:t xml:space="preserve">1. CISO vs IT </w:t>
      </w:r>
      <w:r>
        <w:rPr>
          <w:rFonts w:ascii="RobotoStatic" w:cs="Calibri" w:hAnsi="Calibri"/>
          <w:b/>
          <w:bCs/>
        </w:rPr>
        <w:t>—</w:t>
      </w:r>
      <w:r>
        <w:rPr>
          <w:rFonts w:ascii="RobotoStatic" w:cs="Zawgyi-One" w:hAnsi="Source Sans Pro"/>
          <w:b/>
          <w:bCs/>
        </w:rPr>
        <w:t xml:space="preserve"> control implementation and exception authority</w:t>
      </w:r>
    </w:p>
    <w:p w14:paraId="81369F8D">
      <w:pPr>
        <w:pStyle w:val="style0"/>
        <w:spacing w:after="160" w:lineRule="auto" w:line="420"/>
        <w:rPr>
          <w:rFonts w:ascii="RobotoStatic" w:cs="Zawgyi-One" w:hAnsi="Source Sans Pro"/>
        </w:rPr>
      </w:pPr>
      <w:r>
        <w:rPr>
          <w:rFonts w:ascii="RobotoStatic" w:cs="Zawgyi-One" w:hAnsi="Source Sans Pro"/>
          <w:sz w:val="21"/>
          <w:szCs w:val="21"/>
        </w:rPr>
        <w:t>Both the CISO (policy owner) and IT (control implementer) have a claim over decisions such as patching timelines, configuration standards and exception requests. Resolution principle: IT is Responsible for implementation and day-to-day operation; the CISO is Accountable for the risk-based standard and for approving or declining exceptions to it. Unresolved disagreements are escalated to the Security Governance/Steering Committee rather than settled unilaterally by either party.</w:t>
      </w:r>
    </w:p>
    <w:p w14:paraId="E2CF1EBD">
      <w:pPr>
        <w:pStyle w:val="style0"/>
        <w:spacing w:before="60" w:after="40" w:lineRule="auto" w:line="420"/>
        <w:rPr>
          <w:rFonts w:ascii="RobotoStatic" w:cs="Zawgyi-One" w:hAnsi="Source Sans Pro"/>
        </w:rPr>
      </w:pPr>
      <w:r>
        <w:rPr>
          <w:rFonts w:ascii="RobotoStatic" w:cs="Zawgyi-One" w:hAnsi="Source Sans Pro"/>
          <w:b/>
          <w:bCs/>
        </w:rPr>
        <w:t xml:space="preserve">2. CRO vs CISO </w:t>
      </w:r>
      <w:r>
        <w:rPr>
          <w:rFonts w:ascii="RobotoStatic" w:cs="Calibri" w:hAnsi="Calibri"/>
          <w:b/>
          <w:bCs/>
        </w:rPr>
        <w:t>—</w:t>
      </w:r>
      <w:r>
        <w:rPr>
          <w:rFonts w:ascii="RobotoStatic" w:cs="Zawgyi-One" w:hAnsi="Source Sans Pro"/>
          <w:b/>
          <w:bCs/>
        </w:rPr>
        <w:t xml:space="preserve"> risk assessment and risk acceptance</w:t>
      </w:r>
    </w:p>
    <w:p w14:paraId="DC39AFE8">
      <w:pPr>
        <w:pStyle w:val="style0"/>
        <w:spacing w:after="160" w:lineRule="auto" w:line="420"/>
        <w:rPr>
          <w:rFonts w:ascii="RobotoStatic" w:cs="Zawgyi-One" w:hAnsi="Source Sans Pro"/>
        </w:rPr>
      </w:pPr>
      <w:r>
        <w:rPr>
          <w:rFonts w:ascii="RobotoStatic" w:cs="Zawgyi-One" w:hAnsi="Source Sans Pro"/>
          <w:sz w:val="21"/>
          <w:szCs w:val="21"/>
        </w:rPr>
        <w:t>The CISO assesses and rates security risk; the CRO owns enterprise risk acceptance. Without separation, the same person could both identify a risk and decide it is acceptable. Resolution principle: the CISO is Responsible for risk assessment and treatment recommendations; the CRO is Accountable for the acceptance decision within delegated thresholds, with the Executive Security Council and Board taking accountability above those thresholds (see the escalation levels in Task 5).</w:t>
      </w:r>
    </w:p>
    <w:p w14:paraId="9841563C">
      <w:pPr>
        <w:pStyle w:val="style0"/>
        <w:spacing w:before="60" w:after="40" w:lineRule="auto" w:line="420"/>
        <w:rPr>
          <w:rFonts w:ascii="RobotoStatic" w:cs="Zawgyi-One" w:hAnsi="Source Sans Pro"/>
        </w:rPr>
      </w:pPr>
      <w:r>
        <w:rPr>
          <w:rFonts w:ascii="RobotoStatic" w:cs="Zawgyi-One" w:hAnsi="Source Sans Pro"/>
          <w:b/>
          <w:bCs/>
        </w:rPr>
        <w:t xml:space="preserve">3. Legal vs CISO </w:t>
      </w:r>
      <w:r>
        <w:rPr>
          <w:rFonts w:ascii="RobotoStatic" w:cs="Calibri" w:hAnsi="Calibri"/>
          <w:b/>
          <w:bCs/>
        </w:rPr>
        <w:t>—</w:t>
      </w:r>
      <w:r>
        <w:rPr>
          <w:rFonts w:ascii="RobotoStatic" w:cs="Zawgyi-One" w:hAnsi="Source Sans Pro"/>
          <w:b/>
          <w:bCs/>
        </w:rPr>
        <w:t xml:space="preserve"> regulatory notification decisions</w:t>
      </w:r>
    </w:p>
    <w:p w14:paraId="8DBEB076">
      <w:pPr>
        <w:pStyle w:val="style0"/>
        <w:spacing w:after="160" w:lineRule="auto" w:line="420"/>
        <w:rPr>
          <w:rFonts w:ascii="RobotoStatic" w:cs="Zawgyi-One" w:hAnsi="Source Sans Pro"/>
        </w:rPr>
      </w:pPr>
      <w:r>
        <w:rPr>
          <w:rFonts w:ascii="RobotoStatic" w:cs="Zawgyi-One" w:hAnsi="Source Sans Pro"/>
          <w:sz w:val="21"/>
          <w:szCs w:val="21"/>
        </w:rPr>
        <w:t>The CISO holds the technical facts of an incident; Legal holds the regulatory interpretation. Resolution principle: the CISO is Responsible for supplying complete, timely technical facts; Legal is Accountable for the notification decision itself, with CEO sign-off required for notifications that carry material reputational or financial consequence. This avoids a scenario in which a technical owner either over- or under-calls a legal obligation outside their expertise.</w:t>
      </w:r>
    </w:p>
    <w:p w14:paraId="8E2EE65E">
      <w:pPr>
        <w:pStyle w:val="style0"/>
        <w:spacing w:after="160" w:lineRule="auto" w:line="420"/>
        <w:rPr>
          <w:rFonts w:ascii="RobotoStatic" w:cs="Zawgyi-One" w:hAnsi="Source Sans Pro"/>
          <w:sz w:val="21"/>
          <w:szCs w:val="21"/>
        </w:rPr>
      </w:pPr>
      <w:r>
        <w:rPr>
          <w:rFonts w:ascii="RobotoStatic" w:cs="Zawgyi-One" w:hAnsi="Source Sans Pro"/>
          <w:sz w:val="21"/>
          <w:szCs w:val="21"/>
        </w:rPr>
        <w:t xml:space="preserve">A fourth, related tension  between Finance and the CEO over security budget approval </w:t>
      </w:r>
      <w:r>
        <w:rPr>
          <w:rFonts w:ascii="RobotoStatic" w:cs="Calibri" w:hAnsi="Calibri"/>
          <w:sz w:val="21"/>
          <w:szCs w:val="21"/>
        </w:rPr>
        <w:t>—</w:t>
      </w:r>
      <w:r>
        <w:rPr>
          <w:rFonts w:ascii="RobotoStatic" w:cs="Zawgyi-One" w:hAnsi="Source Sans Pro"/>
          <w:sz w:val="21"/>
          <w:szCs w:val="21"/>
        </w:rPr>
        <w:t xml:space="preserve"> is treated in Task 4 as an example of a RACI assignment that needs an explicit resolution rule rather than a simple accountability split, because both roles have a legitimate and continuing claim over the decision.</w:t>
      </w:r>
    </w:p>
    <w:p w14:paraId="341CA9E9">
      <w:pPr>
        <w:pStyle w:val="style0"/>
        <w:spacing w:after="160" w:lineRule="auto" w:line="420"/>
        <w:rPr>
          <w:rFonts w:ascii="RobotoStatic" w:cs="Zawgyi-One" w:hAnsi="Source Sans Pro"/>
          <w:color w:val="auto"/>
        </w:rPr>
      </w:pPr>
    </w:p>
    <w:p w14:paraId="0808FB2B">
      <w:pPr>
        <w:pStyle w:val="style0"/>
        <w:spacing w:after="160" w:lineRule="auto" w:line="420"/>
        <w:rPr>
          <w:rFonts w:ascii="RobotoStatic" w:cs="Zawgyi-One" w:hAnsi="Source Sans Pro"/>
          <w:b/>
          <w:bCs/>
          <w:sz w:val="22"/>
          <w:szCs w:val="22"/>
        </w:rPr>
      </w:pPr>
      <w:r>
        <w:rPr>
          <w:rFonts w:ascii="RobotoStatic" w:cs="Zawgyi-One" w:hAnsi="Source Sans Pro"/>
          <w:b/>
          <w:bCs/>
          <w:sz w:val="22"/>
          <w:szCs w:val="22"/>
          <w:lang w:val="en-US"/>
        </w:rPr>
        <w:t xml:space="preserve">TASK 3: SECURITY GOVERNANCE COMMITTEE ECOSYSTEM </w:t>
      </w:r>
    </w:p>
    <w:p w14:paraId="C502AFF0">
      <w:pPr>
        <w:pStyle w:val="style2"/>
        <w:spacing w:before="280" w:after="140" w:lineRule="auto" w:line="420"/>
        <w:rPr>
          <w:rFonts w:ascii="RobotoStatic" w:cs="Zawgyi-One" w:hAnsi="Source Sans Pro"/>
          <w:color w:val="auto"/>
        </w:rPr>
      </w:pPr>
      <w:r>
        <w:rPr>
          <w:rFonts w:ascii="RobotoStatic" w:cs="Zawgyi-One" w:hAnsi="Source Sans Pro"/>
          <w:b/>
          <w:bCs/>
          <w:color w:val="auto"/>
          <w:sz w:val="24"/>
          <w:szCs w:val="24"/>
        </w:rPr>
        <w:t>3.1 Committee Structure / Interaction Diagram</w:t>
      </w:r>
    </w:p>
    <w:p w14:paraId="B6CA3BAC">
      <w:pPr>
        <w:pStyle w:val="style0"/>
        <w:spacing w:after="160" w:lineRule="auto" w:line="420"/>
        <w:rPr>
          <w:rFonts w:ascii="RobotoStatic" w:cs="Zawgyi-One" w:hAnsi="Source Sans Pro"/>
        </w:rPr>
      </w:pPr>
      <w:r>
        <w:rPr>
          <w:rFonts w:ascii="RobotoStatic" w:cs="Zawgyi-One" w:hAnsi="Source Sans Pro"/>
          <w:sz w:val="21"/>
          <w:szCs w:val="21"/>
        </w:rPr>
        <w:t>The diagram below shows how decisions and risk information move between the Board, the Executive Security Council, the Security Governance/Steering Committee, the specialist Working Groups, and the Business Unit Security Forum.</w:t>
      </w:r>
    </w:p>
    <w:p w14:paraId="69DC780B">
      <w:pPr>
        <w:pStyle w:val="style0"/>
        <w:spacing w:before="120" w:after="120" w:lineRule="auto" w:line="420"/>
        <w:jc w:val="center"/>
        <w:rPr>
          <w:rFonts w:ascii="RobotoStatic" w:cs="Zawgyi-One" w:hAnsi="Source Sans Pro"/>
        </w:rPr>
      </w:pPr>
      <w:r>
        <w:rPr>
          <w:rFonts w:ascii="RobotoStatic" w:cs="Zawgyi-One" w:hAnsi="Source Sans Pro"/>
          <w:noProof/>
        </w:rPr>
        <w:drawing>
          <wp:inline distL="0" distT="0" distB="0" distR="0">
            <wp:extent cx="4953000" cy="5905500"/>
            <wp:effectExtent l="0" t="0" r="0" b="0"/>
            <wp:docPr id="1027" name="Picture 2"/>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1" name="Picture 2"/>
                    <pic:cNvPicPr/>
                  </pic:nvPicPr>
                  <pic:blipFill>
                    <a:blip r:embed="rId3" cstate="print"/>
                    <a:srcRect l="0" t="0" r="0" b="0"/>
                    <a:stretch/>
                  </pic:blipFill>
                  <pic:spPr>
                    <a:xfrm rot="0">
                      <a:off x="0" y="0"/>
                      <a:ext cx="4953000" cy="5905500"/>
                    </a:xfrm>
                    <a:prstGeom prst="rect"/>
                  </pic:spPr>
                </pic:pic>
              </a:graphicData>
            </a:graphic>
          </wp:inline>
        </w:drawing>
      </w:r>
    </w:p>
    <w:p w14:paraId="AC18E568">
      <w:pPr>
        <w:pStyle w:val="style0"/>
        <w:spacing w:after="240" w:lineRule="auto" w:line="420"/>
        <w:jc w:val="center"/>
        <w:rPr>
          <w:rFonts w:ascii="RobotoStatic" w:cs="Zawgyi-One" w:hAnsi="Source Sans Pro"/>
        </w:rPr>
      </w:pPr>
      <w:r>
        <w:rPr>
          <w:rFonts w:ascii="RobotoStatic" w:cs="Zawgyi-One" w:hAnsi="Source Sans Pro"/>
          <w:i/>
          <w:iCs/>
          <w:sz w:val="18"/>
          <w:szCs w:val="18"/>
        </w:rPr>
        <w:t xml:space="preserve">Figure 2 </w:t>
      </w:r>
      <w:r>
        <w:rPr>
          <w:rFonts w:ascii="RobotoStatic" w:cs="Calibri" w:hAnsi="Calibri"/>
          <w:i/>
          <w:iCs/>
          <w:sz w:val="18"/>
          <w:szCs w:val="18"/>
        </w:rPr>
        <w:t>—</w:t>
      </w:r>
      <w:r>
        <w:rPr>
          <w:rFonts w:ascii="RobotoStatic" w:cs="Zawgyi-One" w:hAnsi="Source Sans Pro"/>
          <w:i/>
          <w:iCs/>
          <w:sz w:val="18"/>
          <w:szCs w:val="18"/>
        </w:rPr>
        <w:t xml:space="preserve"> TechGlobal Security Governance Committee Ecosystem</w:t>
      </w:r>
    </w:p>
    <w:p w14:paraId="39D19D09">
      <w:pPr>
        <w:pStyle w:val="style2"/>
        <w:spacing w:before="280" w:after="140" w:lineRule="auto" w:line="420"/>
        <w:rPr>
          <w:rFonts w:ascii="RobotoStatic" w:cs="Zawgyi-One" w:hAnsi="Source Sans Pro"/>
          <w:color w:val="auto"/>
        </w:rPr>
      </w:pPr>
      <w:r>
        <w:rPr>
          <w:rFonts w:ascii="RobotoStatic" w:cs="Zawgyi-One" w:hAnsi="Source Sans Pro"/>
          <w:b/>
          <w:bCs/>
          <w:color w:val="auto"/>
          <w:sz w:val="24"/>
          <w:szCs w:val="24"/>
        </w:rPr>
        <w:t xml:space="preserve">3.2 Executive Security Council </w:t>
      </w:r>
      <w:r>
        <w:rPr>
          <w:rFonts w:ascii="RobotoStatic" w:cs="Calibri" w:hAnsi="Calibri"/>
          <w:b/>
          <w:bCs/>
          <w:color w:val="auto"/>
          <w:sz w:val="24"/>
          <w:szCs w:val="24"/>
        </w:rPr>
        <w:t>—</w:t>
      </w:r>
      <w:r>
        <w:rPr>
          <w:rFonts w:ascii="RobotoStatic" w:cs="Zawgyi-One" w:hAnsi="Source Sans Pro"/>
          <w:b/>
          <w:bCs/>
          <w:color w:val="auto"/>
          <w:sz w:val="24"/>
          <w:szCs w:val="24"/>
        </w:rPr>
        <w:t xml:space="preserve"> Mandate Summary</w:t>
      </w:r>
    </w:p>
    <w:p w14:paraId="BE5C3EC3">
      <w:pPr>
        <w:pStyle w:val="style0"/>
        <w:spacing w:after="160" w:lineRule="auto" w:line="420"/>
        <w:rPr>
          <w:rFonts w:ascii="RobotoStatic" w:cs="Zawgyi-One" w:hAnsi="Source Sans Pro"/>
        </w:rPr>
      </w:pPr>
      <w:r>
        <w:rPr>
          <w:rFonts w:ascii="RobotoStatic" w:cs="Zawgyi-One" w:hAnsi="Source Sans Pro"/>
          <w:sz w:val="21"/>
          <w:szCs w:val="21"/>
        </w:rPr>
        <w:t>The Executive Security Council provides strategic oversight between quarterly Board cycles. It is composed of the CEO (Chair), CISO, CRO, Legal, Finance and HR leads, meeting quarterly and on an ad-hoc basis when a Level 3 risk is escalated (see Task 5). Its mandate covers approval of security strategy and investment priorities, review of enterprise cyber risk aggregated by the CRO, and referral of material risk to the Board Risk &amp; Audit Committee.</w:t>
      </w:r>
    </w:p>
    <w:p w14:paraId="312EFC39">
      <w:pPr>
        <w:pStyle w:val="style2"/>
        <w:spacing w:before="280" w:after="140" w:lineRule="auto" w:line="420"/>
        <w:rPr>
          <w:rFonts w:ascii="RobotoStatic" w:cs="Zawgyi-One" w:hAnsi="Source Sans Pro"/>
          <w:color w:val="auto"/>
        </w:rPr>
      </w:pPr>
      <w:r>
        <w:rPr>
          <w:rFonts w:ascii="RobotoStatic" w:cs="Zawgyi-One" w:hAnsi="Source Sans Pro"/>
          <w:b/>
          <w:bCs/>
          <w:color w:val="auto"/>
          <w:sz w:val="24"/>
          <w:szCs w:val="24"/>
        </w:rPr>
        <w:t xml:space="preserve">3.3 Security Governance / Steering Committee </w:t>
      </w:r>
      <w:r>
        <w:rPr>
          <w:rFonts w:ascii="RobotoStatic" w:cs="Calibri" w:hAnsi="Calibri"/>
          <w:b/>
          <w:bCs/>
          <w:color w:val="auto"/>
          <w:sz w:val="24"/>
          <w:szCs w:val="24"/>
        </w:rPr>
        <w:t>—</w:t>
      </w:r>
      <w:r>
        <w:rPr>
          <w:rFonts w:ascii="RobotoStatic" w:cs="Zawgyi-One" w:hAnsi="Source Sans Pro"/>
          <w:b/>
          <w:bCs/>
          <w:color w:val="auto"/>
          <w:sz w:val="24"/>
          <w:szCs w:val="24"/>
        </w:rPr>
        <w:t xml:space="preserve"> Terms of Reference</w:t>
      </w:r>
    </w:p>
    <w:tbl>
      <w:tblPr>
        <w:tblW w:w="9360" w:type="dxa"/>
        <w:tblInd w:w="-15" w:type="dxa"/>
        <w:tblBorders>
          <w:top w:val="single" w:sz="4" w:space="0" w:color="b9c4ce"/>
          <w:left w:val="single" w:sz="4" w:space="0" w:color="b9c4ce"/>
          <w:bottom w:val="single" w:sz="4" w:space="0" w:color="b9c4ce"/>
          <w:right w:val="single" w:sz="4" w:space="0" w:color="b9c4ce"/>
          <w:insideH w:val="single" w:sz="4" w:space="0" w:color="b9c4ce"/>
          <w:insideV w:val="single" w:sz="4" w:space="0" w:color="b9c4ce"/>
        </w:tblBorders>
        <w:tblCellMar>
          <w:top w:w="0" w:type="dxa"/>
          <w:bottom w:w="0" w:type="dxa"/>
        </w:tblCellMar>
        <w:tblLook w:val="04A0" w:firstRow="1" w:lastRow="0" w:firstColumn="1" w:lastColumn="0" w:noHBand="0" w:noVBand="1"/>
      </w:tblPr>
      <w:tblGrid>
        <w:gridCol w:w="2400"/>
        <w:gridCol w:w="6960"/>
      </w:tblGrid>
      <w:tr w14:paraId="2053CCB8">
        <w:trPr>
          <w:tblHeader/>
        </w:trPr>
        <w:tc>
          <w:tcPr>
            <w:tcW w:w="2400" w:type="dxa"/>
            <w:tcBorders/>
            <w:shd w:val="clear" w:color="auto" w:fill="auto"/>
            <w:tcMar>
              <w:top w:w="80" w:type="dxa"/>
              <w:left w:w="100" w:type="dxa"/>
              <w:bottom w:w="80" w:type="dxa"/>
              <w:right w:w="100" w:type="dxa"/>
            </w:tcMar>
            <w:vAlign w:val="center"/>
          </w:tcPr>
          <w:p w14:paraId="DA26B351">
            <w:pPr>
              <w:pStyle w:val="style0"/>
              <w:spacing w:lineRule="auto" w:line="420"/>
              <w:jc w:val="center"/>
              <w:rPr>
                <w:rFonts w:ascii="RobotoStatic" w:cs="Zawgyi-One" w:hAnsi="Source Sans Pro"/>
              </w:rPr>
            </w:pPr>
            <w:r>
              <w:rPr>
                <w:rFonts w:ascii="RobotoStatic" w:cs="Zawgyi-One" w:hAnsi="Source Sans Pro"/>
                <w:b/>
                <w:bCs/>
                <w:sz w:val="18"/>
                <w:szCs w:val="18"/>
              </w:rPr>
              <w:t>Element</w:t>
            </w:r>
          </w:p>
        </w:tc>
        <w:tc>
          <w:tcPr>
            <w:tcW w:w="6960" w:type="dxa"/>
            <w:tcBorders/>
            <w:shd w:val="clear" w:color="auto" w:fill="auto"/>
            <w:tcMar>
              <w:top w:w="80" w:type="dxa"/>
              <w:left w:w="100" w:type="dxa"/>
              <w:bottom w:w="80" w:type="dxa"/>
              <w:right w:w="100" w:type="dxa"/>
            </w:tcMar>
            <w:vAlign w:val="center"/>
          </w:tcPr>
          <w:p w14:paraId="204AC2C6">
            <w:pPr>
              <w:pStyle w:val="style0"/>
              <w:spacing w:lineRule="auto" w:line="420"/>
              <w:jc w:val="center"/>
              <w:rPr>
                <w:rFonts w:ascii="RobotoStatic" w:cs="Zawgyi-One" w:hAnsi="Source Sans Pro"/>
              </w:rPr>
            </w:pPr>
            <w:r>
              <w:rPr>
                <w:rFonts w:ascii="RobotoStatic" w:cs="Zawgyi-One" w:hAnsi="Source Sans Pro"/>
                <w:b/>
                <w:bCs/>
                <w:sz w:val="18"/>
                <w:szCs w:val="18"/>
              </w:rPr>
              <w:t>Detail</w:t>
            </w:r>
          </w:p>
        </w:tc>
      </w:tr>
      <w:tr w14:paraId="B96E66F8">
        <w:tblPrEx/>
        <w:trPr/>
        <w:tc>
          <w:tcPr>
            <w:tcW w:w="2400" w:type="dxa"/>
            <w:tcBorders/>
            <w:shd w:val="clear" w:color="auto" w:fill="auto"/>
            <w:tcMar>
              <w:top w:w="80" w:type="dxa"/>
              <w:left w:w="100" w:type="dxa"/>
              <w:bottom w:w="80" w:type="dxa"/>
              <w:right w:w="100" w:type="dxa"/>
            </w:tcMar>
            <w:vAlign w:val="center"/>
          </w:tcPr>
          <w:p w14:paraId="A644CACA">
            <w:pPr>
              <w:pStyle w:val="style0"/>
              <w:spacing w:lineRule="auto" w:line="420"/>
              <w:rPr>
                <w:rFonts w:ascii="RobotoStatic" w:cs="Zawgyi-One" w:hAnsi="Source Sans Pro"/>
              </w:rPr>
            </w:pPr>
            <w:r>
              <w:rPr>
                <w:rFonts w:ascii="RobotoStatic" w:cs="Zawgyi-One" w:hAnsi="Source Sans Pro"/>
                <w:sz w:val="18"/>
                <w:szCs w:val="18"/>
              </w:rPr>
              <w:t>Purpose</w:t>
            </w:r>
          </w:p>
        </w:tc>
        <w:tc>
          <w:tcPr>
            <w:tcW w:w="6960" w:type="dxa"/>
            <w:tcBorders/>
            <w:shd w:val="clear" w:color="auto" w:fill="auto"/>
            <w:tcMar>
              <w:top w:w="80" w:type="dxa"/>
              <w:left w:w="100" w:type="dxa"/>
              <w:bottom w:w="80" w:type="dxa"/>
              <w:right w:w="100" w:type="dxa"/>
            </w:tcMar>
            <w:vAlign w:val="center"/>
          </w:tcPr>
          <w:p w14:paraId="12B98983">
            <w:pPr>
              <w:pStyle w:val="style0"/>
              <w:spacing w:lineRule="auto" w:line="420"/>
              <w:rPr>
                <w:rFonts w:ascii="RobotoStatic" w:cs="Zawgyi-One" w:hAnsi="Source Sans Pro"/>
              </w:rPr>
            </w:pPr>
            <w:r>
              <w:rPr>
                <w:rFonts w:ascii="RobotoStatic" w:cs="Zawgyi-One" w:hAnsi="Source Sans Pro"/>
                <w:sz w:val="18"/>
                <w:szCs w:val="18"/>
              </w:rPr>
              <w:t>To make cross-functional governance decisions on security policy, risk treatment, resourcing conflicts and committee-level exceptions, so that decisions currently made unilaterally by IT are made collectively and recorded.</w:t>
            </w:r>
          </w:p>
        </w:tc>
      </w:tr>
      <w:tr w14:paraId="3A5CA8EB">
        <w:tblPrEx/>
        <w:trPr/>
        <w:tc>
          <w:tcPr>
            <w:tcW w:w="2400" w:type="dxa"/>
            <w:tcBorders/>
            <w:shd w:val="clear" w:color="auto" w:fill="auto"/>
            <w:tcMar>
              <w:top w:w="80" w:type="dxa"/>
              <w:left w:w="100" w:type="dxa"/>
              <w:bottom w:w="80" w:type="dxa"/>
              <w:right w:w="100" w:type="dxa"/>
            </w:tcMar>
            <w:vAlign w:val="center"/>
          </w:tcPr>
          <w:p w14:paraId="8B1469CC">
            <w:pPr>
              <w:pStyle w:val="style0"/>
              <w:spacing w:lineRule="auto" w:line="420"/>
              <w:rPr>
                <w:rFonts w:ascii="RobotoStatic" w:cs="Zawgyi-One" w:hAnsi="Source Sans Pro"/>
              </w:rPr>
            </w:pPr>
            <w:r>
              <w:rPr>
                <w:rFonts w:ascii="RobotoStatic" w:cs="Zawgyi-One" w:hAnsi="Source Sans Pro"/>
                <w:sz w:val="18"/>
                <w:szCs w:val="18"/>
              </w:rPr>
              <w:t>Scope / Mandate</w:t>
            </w:r>
          </w:p>
        </w:tc>
        <w:tc>
          <w:tcPr>
            <w:tcW w:w="6960" w:type="dxa"/>
            <w:tcBorders/>
            <w:shd w:val="clear" w:color="auto" w:fill="auto"/>
            <w:tcMar>
              <w:top w:w="80" w:type="dxa"/>
              <w:left w:w="100" w:type="dxa"/>
              <w:bottom w:w="80" w:type="dxa"/>
              <w:right w:w="100" w:type="dxa"/>
            </w:tcMar>
            <w:vAlign w:val="center"/>
          </w:tcPr>
          <w:p w14:paraId="A6311E96">
            <w:pPr>
              <w:pStyle w:val="style0"/>
              <w:spacing w:lineRule="auto" w:line="420"/>
              <w:rPr>
                <w:rFonts w:ascii="RobotoStatic" w:cs="Zawgyi-One" w:hAnsi="Source Sans Pro"/>
              </w:rPr>
            </w:pPr>
            <w:r>
              <w:rPr>
                <w:rFonts w:ascii="RobotoStatic" w:cs="Zawgyi-One" w:hAnsi="Source Sans Pro"/>
                <w:sz w:val="18"/>
                <w:szCs w:val="18"/>
              </w:rPr>
              <w:t>Policy approval below Executive Council materiality threshold; risk-treatment decisions referred by Working Groups; resolution of cross-functional conflicts (e.g. CISO/IT exception disputes); oversight of Working Group output.</w:t>
            </w:r>
          </w:p>
        </w:tc>
      </w:tr>
      <w:tr w14:paraId="883DA3DA">
        <w:tblPrEx/>
        <w:trPr/>
        <w:tc>
          <w:tcPr>
            <w:tcW w:w="2400" w:type="dxa"/>
            <w:tcBorders/>
            <w:shd w:val="clear" w:color="auto" w:fill="auto"/>
            <w:tcMar>
              <w:top w:w="80" w:type="dxa"/>
              <w:left w:w="100" w:type="dxa"/>
              <w:bottom w:w="80" w:type="dxa"/>
              <w:right w:w="100" w:type="dxa"/>
            </w:tcMar>
            <w:vAlign w:val="center"/>
          </w:tcPr>
          <w:p w14:paraId="43E543A8">
            <w:pPr>
              <w:pStyle w:val="style0"/>
              <w:spacing w:lineRule="auto" w:line="420"/>
              <w:rPr>
                <w:rFonts w:ascii="RobotoStatic" w:cs="Zawgyi-One" w:hAnsi="Source Sans Pro"/>
              </w:rPr>
            </w:pPr>
            <w:r>
              <w:rPr>
                <w:rFonts w:ascii="RobotoStatic" w:cs="Zawgyi-One" w:hAnsi="Source Sans Pro"/>
                <w:sz w:val="18"/>
                <w:szCs w:val="18"/>
              </w:rPr>
              <w:t>Membership</w:t>
            </w:r>
          </w:p>
        </w:tc>
        <w:tc>
          <w:tcPr>
            <w:tcW w:w="6960" w:type="dxa"/>
            <w:tcBorders/>
            <w:shd w:val="clear" w:color="auto" w:fill="auto"/>
            <w:tcMar>
              <w:top w:w="80" w:type="dxa"/>
              <w:left w:w="100" w:type="dxa"/>
              <w:bottom w:w="80" w:type="dxa"/>
              <w:right w:w="100" w:type="dxa"/>
            </w:tcMar>
            <w:vAlign w:val="center"/>
          </w:tcPr>
          <w:p w14:paraId="29F6F22A">
            <w:pPr>
              <w:pStyle w:val="style0"/>
              <w:spacing w:lineRule="auto" w:line="420"/>
              <w:rPr>
                <w:rFonts w:ascii="RobotoStatic" w:cs="Zawgyi-One" w:hAnsi="Source Sans Pro"/>
              </w:rPr>
            </w:pPr>
            <w:r>
              <w:rPr>
                <w:rFonts w:ascii="RobotoStatic" w:cs="Zawgyi-One" w:hAnsi="Source Sans Pro"/>
                <w:sz w:val="18"/>
                <w:szCs w:val="18"/>
              </w:rPr>
              <w:t>CISO (Chair), CRO/Risk representative, Legal/Compliance representative, Finance representative, HR representative, IT representative, and rotating Business Unit Leader representation (one per meeting on a quarterly rotation across the five offices).</w:t>
            </w:r>
          </w:p>
        </w:tc>
      </w:tr>
      <w:tr w14:paraId="D72FC2D7">
        <w:tblPrEx/>
        <w:trPr/>
        <w:tc>
          <w:tcPr>
            <w:tcW w:w="2400" w:type="dxa"/>
            <w:tcBorders/>
            <w:shd w:val="clear" w:color="auto" w:fill="auto"/>
            <w:tcMar>
              <w:top w:w="80" w:type="dxa"/>
              <w:left w:w="100" w:type="dxa"/>
              <w:bottom w:w="80" w:type="dxa"/>
              <w:right w:w="100" w:type="dxa"/>
            </w:tcMar>
            <w:vAlign w:val="center"/>
          </w:tcPr>
          <w:p w14:paraId="77F3535A">
            <w:pPr>
              <w:pStyle w:val="style0"/>
              <w:spacing w:lineRule="auto" w:line="420"/>
              <w:rPr>
                <w:rFonts w:ascii="RobotoStatic" w:cs="Zawgyi-One" w:hAnsi="Source Sans Pro"/>
              </w:rPr>
            </w:pPr>
            <w:r>
              <w:rPr>
                <w:rFonts w:ascii="RobotoStatic" w:cs="Zawgyi-One" w:hAnsi="Source Sans Pro"/>
                <w:sz w:val="18"/>
                <w:szCs w:val="18"/>
              </w:rPr>
              <w:t>Authority</w:t>
            </w:r>
          </w:p>
        </w:tc>
        <w:tc>
          <w:tcPr>
            <w:tcW w:w="6960" w:type="dxa"/>
            <w:tcBorders/>
            <w:shd w:val="clear" w:color="auto" w:fill="auto"/>
            <w:tcMar>
              <w:top w:w="80" w:type="dxa"/>
              <w:left w:w="100" w:type="dxa"/>
              <w:bottom w:w="80" w:type="dxa"/>
              <w:right w:w="100" w:type="dxa"/>
            </w:tcMar>
            <w:vAlign w:val="center"/>
          </w:tcPr>
          <w:p w14:paraId="5FAD09E4">
            <w:pPr>
              <w:pStyle w:val="style0"/>
              <w:spacing w:lineRule="auto" w:line="420"/>
              <w:rPr>
                <w:rFonts w:ascii="RobotoStatic" w:cs="Zawgyi-One" w:hAnsi="Source Sans Pro"/>
              </w:rPr>
            </w:pPr>
            <w:r>
              <w:rPr>
                <w:rFonts w:ascii="RobotoStatic" w:cs="Zawgyi-One" w:hAnsi="Source Sans Pro"/>
                <w:sz w:val="18"/>
                <w:szCs w:val="18"/>
              </w:rPr>
              <w:t>Can approve policy and risk treatment within delegated thresholds; must refer budget requests above its delegated limit, and any risk meeting Level 3 escalation criteria, to the Executive Security Council.</w:t>
            </w:r>
          </w:p>
        </w:tc>
      </w:tr>
      <w:tr w14:paraId="24EC437D">
        <w:tblPrEx/>
        <w:trPr/>
        <w:tc>
          <w:tcPr>
            <w:tcW w:w="2400" w:type="dxa"/>
            <w:tcBorders/>
            <w:shd w:val="clear" w:color="auto" w:fill="auto"/>
            <w:tcMar>
              <w:top w:w="80" w:type="dxa"/>
              <w:left w:w="100" w:type="dxa"/>
              <w:bottom w:w="80" w:type="dxa"/>
              <w:right w:w="100" w:type="dxa"/>
            </w:tcMar>
            <w:vAlign w:val="center"/>
          </w:tcPr>
          <w:p w14:paraId="69E3BD45">
            <w:pPr>
              <w:pStyle w:val="style0"/>
              <w:spacing w:lineRule="auto" w:line="420"/>
              <w:rPr>
                <w:rFonts w:ascii="RobotoStatic" w:cs="Zawgyi-One" w:hAnsi="Source Sans Pro"/>
              </w:rPr>
            </w:pPr>
            <w:r>
              <w:rPr>
                <w:rFonts w:ascii="RobotoStatic" w:cs="Zawgyi-One" w:hAnsi="Source Sans Pro"/>
                <w:sz w:val="18"/>
                <w:szCs w:val="18"/>
              </w:rPr>
              <w:t>Meeting Frequency</w:t>
            </w:r>
          </w:p>
        </w:tc>
        <w:tc>
          <w:tcPr>
            <w:tcW w:w="6960" w:type="dxa"/>
            <w:tcBorders/>
            <w:shd w:val="clear" w:color="auto" w:fill="auto"/>
            <w:tcMar>
              <w:top w:w="80" w:type="dxa"/>
              <w:left w:w="100" w:type="dxa"/>
              <w:bottom w:w="80" w:type="dxa"/>
              <w:right w:w="100" w:type="dxa"/>
            </w:tcMar>
            <w:vAlign w:val="center"/>
          </w:tcPr>
          <w:p w14:paraId="6D6C530D">
            <w:pPr>
              <w:pStyle w:val="style0"/>
              <w:spacing w:lineRule="auto" w:line="420"/>
              <w:rPr>
                <w:rFonts w:ascii="RobotoStatic" w:cs="Zawgyi-One" w:hAnsi="Source Sans Pro"/>
              </w:rPr>
            </w:pPr>
            <w:r>
              <w:rPr>
                <w:rFonts w:ascii="RobotoStatic" w:cs="Zawgyi-One" w:hAnsi="Source Sans Pro"/>
                <w:sz w:val="18"/>
                <w:szCs w:val="18"/>
              </w:rPr>
              <w:t>Monthly, with an emergency session convened within 5 business days of a Level 2 escalation under the Task 5 workflow.</w:t>
            </w:r>
          </w:p>
        </w:tc>
      </w:tr>
      <w:tr w14:paraId="A8BD2F27">
        <w:tblPrEx/>
        <w:trPr/>
        <w:tc>
          <w:tcPr>
            <w:tcW w:w="2400" w:type="dxa"/>
            <w:tcBorders/>
            <w:shd w:val="clear" w:color="auto" w:fill="auto"/>
            <w:tcMar>
              <w:top w:w="80" w:type="dxa"/>
              <w:left w:w="100" w:type="dxa"/>
              <w:bottom w:w="80" w:type="dxa"/>
              <w:right w:w="100" w:type="dxa"/>
            </w:tcMar>
            <w:vAlign w:val="center"/>
          </w:tcPr>
          <w:p w14:paraId="9087C89B">
            <w:pPr>
              <w:pStyle w:val="style0"/>
              <w:spacing w:lineRule="auto" w:line="420"/>
              <w:rPr>
                <w:rFonts w:ascii="RobotoStatic" w:cs="Zawgyi-One" w:hAnsi="Source Sans Pro"/>
              </w:rPr>
            </w:pPr>
            <w:r>
              <w:rPr>
                <w:rFonts w:ascii="RobotoStatic" w:cs="Zawgyi-One" w:hAnsi="Source Sans Pro"/>
                <w:sz w:val="18"/>
                <w:szCs w:val="18"/>
              </w:rPr>
              <w:t>Quorum</w:t>
            </w:r>
          </w:p>
        </w:tc>
        <w:tc>
          <w:tcPr>
            <w:tcW w:w="6960" w:type="dxa"/>
            <w:tcBorders/>
            <w:shd w:val="clear" w:color="auto" w:fill="auto"/>
            <w:tcMar>
              <w:top w:w="80" w:type="dxa"/>
              <w:left w:w="100" w:type="dxa"/>
              <w:bottom w:w="80" w:type="dxa"/>
              <w:right w:w="100" w:type="dxa"/>
            </w:tcMar>
            <w:vAlign w:val="center"/>
          </w:tcPr>
          <w:p w14:paraId="DB95E710">
            <w:pPr>
              <w:pStyle w:val="style0"/>
              <w:spacing w:lineRule="auto" w:line="420"/>
              <w:rPr>
                <w:rFonts w:ascii="RobotoStatic" w:cs="Zawgyi-One" w:hAnsi="Source Sans Pro"/>
              </w:rPr>
            </w:pPr>
            <w:r>
              <w:rPr>
                <w:rFonts w:ascii="RobotoStatic" w:cs="Zawgyi-One" w:hAnsi="Source Sans Pro"/>
                <w:sz w:val="18"/>
                <w:szCs w:val="18"/>
              </w:rPr>
              <w:t>CISO or delegate, plus at least four of the six standing members, one of which must be Legal or CRO.</w:t>
            </w:r>
          </w:p>
        </w:tc>
      </w:tr>
      <w:tr w14:paraId="B8AA50F7">
        <w:tblPrEx/>
        <w:trPr/>
        <w:tc>
          <w:tcPr>
            <w:tcW w:w="2400" w:type="dxa"/>
            <w:tcBorders/>
            <w:shd w:val="clear" w:color="auto" w:fill="auto"/>
            <w:tcMar>
              <w:top w:w="80" w:type="dxa"/>
              <w:left w:w="100" w:type="dxa"/>
              <w:bottom w:w="80" w:type="dxa"/>
              <w:right w:w="100" w:type="dxa"/>
            </w:tcMar>
            <w:vAlign w:val="center"/>
          </w:tcPr>
          <w:p w14:paraId="AF66478F">
            <w:pPr>
              <w:pStyle w:val="style0"/>
              <w:spacing w:lineRule="auto" w:line="420"/>
              <w:rPr>
                <w:rFonts w:ascii="RobotoStatic" w:cs="Zawgyi-One" w:hAnsi="Source Sans Pro"/>
              </w:rPr>
            </w:pPr>
            <w:r>
              <w:rPr>
                <w:rFonts w:ascii="RobotoStatic" w:cs="Zawgyi-One" w:hAnsi="Source Sans Pro"/>
                <w:sz w:val="18"/>
                <w:szCs w:val="18"/>
              </w:rPr>
              <w:t>Secretariat</w:t>
            </w:r>
          </w:p>
        </w:tc>
        <w:tc>
          <w:tcPr>
            <w:tcW w:w="6960" w:type="dxa"/>
            <w:tcBorders/>
            <w:shd w:val="clear" w:color="auto" w:fill="auto"/>
            <w:tcMar>
              <w:top w:w="80" w:type="dxa"/>
              <w:left w:w="100" w:type="dxa"/>
              <w:bottom w:w="80" w:type="dxa"/>
              <w:right w:w="100" w:type="dxa"/>
            </w:tcMar>
            <w:vAlign w:val="center"/>
          </w:tcPr>
          <w:p w14:paraId="26C02036">
            <w:pPr>
              <w:pStyle w:val="style0"/>
              <w:spacing w:lineRule="auto" w:line="420"/>
              <w:rPr>
                <w:rFonts w:ascii="RobotoStatic" w:cs="Zawgyi-One" w:hAnsi="Source Sans Pro"/>
              </w:rPr>
            </w:pPr>
            <w:r>
              <w:rPr>
                <w:rFonts w:ascii="RobotoStatic" w:cs="Zawgyi-One" w:hAnsi="Source Sans Pro"/>
                <w:sz w:val="18"/>
                <w:szCs w:val="18"/>
              </w:rPr>
              <w:t>Governance Committee Secretariat (within the CISO's office) maintains the agenda, decision log and action tracker.</w:t>
            </w:r>
          </w:p>
        </w:tc>
      </w:tr>
      <w:tr w14:paraId="A503597E">
        <w:tblPrEx/>
        <w:trPr/>
        <w:tc>
          <w:tcPr>
            <w:tcW w:w="2400" w:type="dxa"/>
            <w:tcBorders/>
            <w:shd w:val="clear" w:color="auto" w:fill="auto"/>
            <w:tcMar>
              <w:top w:w="80" w:type="dxa"/>
              <w:left w:w="100" w:type="dxa"/>
              <w:bottom w:w="80" w:type="dxa"/>
              <w:right w:w="100" w:type="dxa"/>
            </w:tcMar>
            <w:vAlign w:val="center"/>
          </w:tcPr>
          <w:p w14:paraId="CDA3FD76">
            <w:pPr>
              <w:pStyle w:val="style0"/>
              <w:spacing w:lineRule="auto" w:line="420"/>
              <w:rPr>
                <w:rFonts w:ascii="RobotoStatic" w:cs="Zawgyi-One" w:hAnsi="Source Sans Pro"/>
              </w:rPr>
            </w:pPr>
            <w:r>
              <w:rPr>
                <w:rFonts w:ascii="RobotoStatic" w:cs="Zawgyi-One" w:hAnsi="Source Sans Pro"/>
                <w:sz w:val="18"/>
                <w:szCs w:val="18"/>
              </w:rPr>
              <w:t>Reporting Line</w:t>
            </w:r>
          </w:p>
        </w:tc>
        <w:tc>
          <w:tcPr>
            <w:tcW w:w="6960" w:type="dxa"/>
            <w:tcBorders/>
            <w:shd w:val="clear" w:color="auto" w:fill="auto"/>
            <w:tcMar>
              <w:top w:w="80" w:type="dxa"/>
              <w:left w:w="100" w:type="dxa"/>
              <w:bottom w:w="80" w:type="dxa"/>
              <w:right w:w="100" w:type="dxa"/>
            </w:tcMar>
            <w:vAlign w:val="center"/>
          </w:tcPr>
          <w:p w14:paraId="0B954D68">
            <w:pPr>
              <w:pStyle w:val="style0"/>
              <w:spacing w:lineRule="auto" w:line="420"/>
              <w:rPr>
                <w:rFonts w:ascii="RobotoStatic" w:cs="Zawgyi-One" w:hAnsi="Source Sans Pro"/>
              </w:rPr>
            </w:pPr>
            <w:r>
              <w:rPr>
                <w:rFonts w:ascii="RobotoStatic" w:cs="Zawgyi-One" w:hAnsi="Source Sans Pro"/>
                <w:sz w:val="18"/>
                <w:szCs w:val="18"/>
              </w:rPr>
              <w:t>Reports quarterly to the Executive Security Council; escalates material items immediately per the Task 5 workflow.</w:t>
            </w:r>
          </w:p>
        </w:tc>
      </w:tr>
      <w:tr w14:paraId="9A58EF63">
        <w:tblPrEx/>
        <w:trPr/>
        <w:tc>
          <w:tcPr>
            <w:tcW w:w="2400" w:type="dxa"/>
            <w:tcBorders/>
            <w:shd w:val="clear" w:color="auto" w:fill="auto"/>
            <w:tcMar>
              <w:top w:w="80" w:type="dxa"/>
              <w:left w:w="100" w:type="dxa"/>
              <w:bottom w:w="80" w:type="dxa"/>
              <w:right w:w="100" w:type="dxa"/>
            </w:tcMar>
            <w:vAlign w:val="center"/>
          </w:tcPr>
          <w:p w14:paraId="C35DDCD1">
            <w:pPr>
              <w:pStyle w:val="style0"/>
              <w:spacing w:lineRule="auto" w:line="420"/>
              <w:rPr>
                <w:rFonts w:ascii="RobotoStatic" w:cs="Zawgyi-One" w:hAnsi="Source Sans Pro"/>
              </w:rPr>
            </w:pPr>
            <w:r>
              <w:rPr>
                <w:rFonts w:ascii="RobotoStatic" w:cs="Zawgyi-One" w:hAnsi="Source Sans Pro"/>
                <w:sz w:val="18"/>
                <w:szCs w:val="18"/>
              </w:rPr>
              <w:t>Review Cycle</w:t>
            </w:r>
          </w:p>
        </w:tc>
        <w:tc>
          <w:tcPr>
            <w:tcW w:w="6960" w:type="dxa"/>
            <w:tcBorders/>
            <w:shd w:val="clear" w:color="auto" w:fill="auto"/>
            <w:tcMar>
              <w:top w:w="80" w:type="dxa"/>
              <w:left w:w="100" w:type="dxa"/>
              <w:bottom w:w="80" w:type="dxa"/>
              <w:right w:w="100" w:type="dxa"/>
            </w:tcMar>
            <w:vAlign w:val="center"/>
          </w:tcPr>
          <w:p w14:paraId="DA80DCB0">
            <w:pPr>
              <w:pStyle w:val="style0"/>
              <w:spacing w:lineRule="auto" w:line="420"/>
              <w:rPr>
                <w:rFonts w:ascii="RobotoStatic" w:cs="Zawgyi-One" w:hAnsi="Source Sans Pro"/>
              </w:rPr>
            </w:pPr>
            <w:r>
              <w:rPr>
                <w:rFonts w:ascii="RobotoStatic" w:cs="Zawgyi-One" w:hAnsi="Source Sans Pro"/>
                <w:sz w:val="18"/>
                <w:szCs w:val="18"/>
              </w:rPr>
              <w:t>Terms of Reference reviewed annually or after any material governance failure.</w:t>
            </w:r>
          </w:p>
        </w:tc>
      </w:tr>
    </w:tbl>
    <w:p w14:paraId="692A6D2F">
      <w:pPr>
        <w:pStyle w:val="style2"/>
        <w:spacing w:before="280" w:after="140" w:lineRule="auto" w:line="420"/>
        <w:rPr>
          <w:rFonts w:ascii="RobotoStatic" w:cs="Zawgyi-One" w:hAnsi="Source Sans Pro"/>
          <w:color w:val="auto"/>
        </w:rPr>
      </w:pPr>
      <w:r>
        <w:rPr>
          <w:rFonts w:ascii="RobotoStatic" w:cs="Zawgyi-One" w:hAnsi="Source Sans Pro"/>
          <w:b/>
          <w:bCs/>
          <w:color w:val="auto"/>
          <w:sz w:val="24"/>
          <w:szCs w:val="24"/>
        </w:rPr>
        <w:t xml:space="preserve">3.4 Specialised Working Group </w:t>
      </w:r>
      <w:r>
        <w:rPr>
          <w:rFonts w:ascii="RobotoStatic" w:cs="Calibri" w:hAnsi="Calibri"/>
          <w:b/>
          <w:bCs/>
          <w:color w:val="auto"/>
          <w:sz w:val="24"/>
          <w:szCs w:val="24"/>
        </w:rPr>
        <w:t>—</w:t>
      </w:r>
      <w:r>
        <w:rPr>
          <w:rFonts w:ascii="RobotoStatic" w:cs="Zawgyi-One" w:hAnsi="Source Sans Pro"/>
          <w:b/>
          <w:bCs/>
          <w:color w:val="auto"/>
          <w:sz w:val="24"/>
          <w:szCs w:val="24"/>
        </w:rPr>
        <w:t xml:space="preserve"> Incident Response</w:t>
      </w:r>
    </w:p>
    <w:p w14:paraId="9B7684E4">
      <w:pPr>
        <w:pStyle w:val="style0"/>
        <w:spacing w:after="160" w:lineRule="auto" w:line="420"/>
        <w:rPr>
          <w:rFonts w:ascii="RobotoStatic" w:cs="Zawgyi-One" w:hAnsi="Source Sans Pro"/>
        </w:rPr>
      </w:pPr>
      <w:r>
        <w:rPr>
          <w:rFonts w:ascii="RobotoStatic" w:cs="Zawgyi-One" w:hAnsi="Source Sans Pro"/>
          <w:sz w:val="21"/>
          <w:szCs w:val="21"/>
        </w:rPr>
        <w:t>TechGlobal's highest-frequency, highest-impact governance need is coordinated incident response across five offices, so the Incident Response Working Group is defined as the first standing Working Group (Cloud Security and Third-Party Risk operate on the same model).</w:t>
      </w:r>
    </w:p>
    <w:p w14:paraId="4736D6C3">
      <w:pPr>
        <w:pStyle w:val="style179"/>
        <w:numPr>
          <w:ilvl w:val="0"/>
          <w:numId w:val="1"/>
        </w:numPr>
        <w:spacing w:after="80" w:lineRule="auto" w:line="420"/>
        <w:rPr>
          <w:rFonts w:ascii="RobotoStatic" w:cs="Zawgyi-One" w:hAnsi="Source Sans Pro"/>
        </w:rPr>
      </w:pPr>
      <w:r>
        <w:rPr>
          <w:rFonts w:ascii="RobotoStatic" w:cs="Zawgyi-One" w:hAnsi="Source Sans Pro"/>
          <w:sz w:val="21"/>
          <w:szCs w:val="21"/>
        </w:rPr>
        <w:t>Membership: Security Operations lead (Chair), IT infrastructure representative, a nominated Legal contact, HR (for insider or personnel-related incidents), and the affected Business Unit's local security champion.</w:t>
      </w:r>
    </w:p>
    <w:p w14:paraId="8834E6AE">
      <w:pPr>
        <w:pStyle w:val="style179"/>
        <w:numPr>
          <w:ilvl w:val="0"/>
          <w:numId w:val="1"/>
        </w:numPr>
        <w:spacing w:after="80" w:lineRule="auto" w:line="420"/>
        <w:rPr>
          <w:rFonts w:ascii="RobotoStatic" w:cs="Zawgyi-One" w:hAnsi="Source Sans Pro"/>
        </w:rPr>
      </w:pPr>
      <w:r>
        <w:rPr>
          <w:rFonts w:ascii="RobotoStatic" w:cs="Zawgyi-One" w:hAnsi="Source Sans Pro"/>
          <w:sz w:val="21"/>
          <w:szCs w:val="21"/>
        </w:rPr>
        <w:t>Cadence: monthly for readiness and lessons-learned review; activated immediately on any incident meeting Level 2 or above in the Task 5 escalation model.</w:t>
      </w:r>
    </w:p>
    <w:p w14:paraId="88DF2F4D">
      <w:pPr>
        <w:pStyle w:val="style179"/>
        <w:numPr>
          <w:ilvl w:val="0"/>
          <w:numId w:val="1"/>
        </w:numPr>
        <w:spacing w:after="80" w:lineRule="auto" w:line="420"/>
        <w:rPr>
          <w:rFonts w:ascii="RobotoStatic" w:cs="Zawgyi-One" w:hAnsi="Source Sans Pro"/>
        </w:rPr>
      </w:pPr>
      <w:r>
        <w:rPr>
          <w:rFonts w:ascii="RobotoStatic" w:cs="Zawgyi-One" w:hAnsi="Source Sans Pro"/>
          <w:sz w:val="21"/>
          <w:szCs w:val="21"/>
        </w:rPr>
        <w:t>Output: incident runbooks, post-incident review reports, and recommendations that feed into the Steering Committee's risk-treatment agenda.</w:t>
      </w:r>
    </w:p>
    <w:p w14:paraId="10EC4564">
      <w:pPr>
        <w:pStyle w:val="style2"/>
        <w:spacing w:before="280" w:after="140" w:lineRule="auto" w:line="420"/>
        <w:rPr>
          <w:rFonts w:ascii="RobotoStatic" w:cs="Zawgyi-One" w:hAnsi="Source Sans Pro"/>
          <w:color w:val="auto"/>
        </w:rPr>
      </w:pPr>
      <w:r>
        <w:rPr>
          <w:rFonts w:ascii="RobotoStatic" w:cs="Zawgyi-One" w:hAnsi="Source Sans Pro"/>
          <w:b/>
          <w:bCs/>
          <w:color w:val="auto"/>
          <w:sz w:val="24"/>
          <w:szCs w:val="24"/>
        </w:rPr>
        <w:t>3.5 Business Unit Participation Without Creating Silos</w:t>
      </w:r>
    </w:p>
    <w:p w14:paraId="84D7608C">
      <w:pPr>
        <w:pStyle w:val="style0"/>
        <w:spacing w:after="160" w:lineRule="auto" w:line="420"/>
        <w:rPr>
          <w:rFonts w:ascii="RobotoStatic" w:cs="Zawgyi-One" w:hAnsi="Source Sans Pro"/>
        </w:rPr>
      </w:pPr>
      <w:r>
        <w:rPr>
          <w:rFonts w:ascii="RobotoStatic" w:cs="Zawgyi-One" w:hAnsi="Source Sans Pro"/>
          <w:sz w:val="21"/>
          <w:szCs w:val="21"/>
        </w:rPr>
        <w:t xml:space="preserve">Each of the five offices nominates a Business Information Security Officer (BISO) or Security Champion who sits on the Business Unit Security Forum. The Forum meets monthly to raise local risk items and receives governance decisions and policy directly from the Steering Committee, on which a Business Unit Leader sits on a rotating basis. This gives every office a two-way channel into governance </w:t>
      </w:r>
      <w:r>
        <w:rPr>
          <w:rFonts w:ascii="RobotoStatic" w:cs="Calibri" w:hAnsi="Calibri"/>
          <w:sz w:val="21"/>
          <w:szCs w:val="21"/>
        </w:rPr>
        <w:t>—</w:t>
      </w:r>
      <w:r>
        <w:rPr>
          <w:rFonts w:ascii="RobotoStatic" w:cs="Zawgyi-One" w:hAnsi="Source Sans Pro"/>
          <w:sz w:val="21"/>
          <w:szCs w:val="21"/>
        </w:rPr>
        <w:t xml:space="preserve"> visibility into what is decided, and a route to raise local issues </w:t>
      </w:r>
      <w:r>
        <w:rPr>
          <w:rFonts w:ascii="RobotoStatic" w:cs="Calibri" w:hAnsi="Calibri"/>
          <w:sz w:val="21"/>
          <w:szCs w:val="21"/>
        </w:rPr>
        <w:t>—</w:t>
      </w:r>
      <w:r>
        <w:rPr>
          <w:rFonts w:ascii="RobotoStatic" w:cs="Zawgyi-One" w:hAnsi="Source Sans Pro"/>
          <w:sz w:val="21"/>
          <w:szCs w:val="21"/>
        </w:rPr>
        <w:t xml:space="preserve"> without creating a separate, parallel security function in each office. Local input on incidents and vendor risk flows directly into the two most relevant Working Groups (Incident Response and Third-Party Risk), rather than being resolved independently by each office as it is today.</w:t>
      </w:r>
    </w:p>
    <w:p w14:paraId="69C80F76">
      <w:pPr>
        <w:pStyle w:val="style2"/>
        <w:spacing w:before="280" w:after="140" w:lineRule="auto" w:line="420"/>
        <w:rPr>
          <w:rFonts w:ascii="RobotoStatic" w:cs="Zawgyi-One" w:hAnsi="Source Sans Pro"/>
          <w:color w:val="auto"/>
        </w:rPr>
      </w:pPr>
      <w:r>
        <w:rPr>
          <w:rFonts w:ascii="RobotoStatic" w:cs="Zawgyi-One" w:hAnsi="Source Sans Pro"/>
          <w:b/>
          <w:bCs/>
          <w:color w:val="auto"/>
          <w:sz w:val="24"/>
          <w:szCs w:val="24"/>
        </w:rPr>
        <w:t>3.6 Sample Committee Agenda</w:t>
      </w:r>
    </w:p>
    <w:p w14:paraId="BF0D46B0">
      <w:pPr>
        <w:pStyle w:val="style0"/>
        <w:spacing w:after="160" w:lineRule="auto" w:line="420"/>
        <w:rPr>
          <w:rFonts w:ascii="RobotoStatic" w:cs="Zawgyi-One" w:hAnsi="Source Sans Pro"/>
        </w:rPr>
      </w:pPr>
      <w:r>
        <w:rPr>
          <w:rFonts w:ascii="RobotoStatic" w:cs="Zawgyi-One" w:hAnsi="Source Sans Pro"/>
          <w:b/>
          <w:bCs/>
          <w:sz w:val="21"/>
          <w:szCs w:val="21"/>
        </w:rPr>
        <w:t xml:space="preserve">Security Governance / Steering Committee </w:t>
      </w:r>
      <w:r>
        <w:rPr>
          <w:rFonts w:ascii="RobotoStatic" w:cs="Calibri" w:hAnsi="Calibri"/>
          <w:b/>
          <w:bCs/>
          <w:sz w:val="21"/>
          <w:szCs w:val="21"/>
        </w:rPr>
        <w:t>—</w:t>
      </w:r>
      <w:r>
        <w:rPr>
          <w:rFonts w:ascii="RobotoStatic" w:cs="Zawgyi-One" w:hAnsi="Source Sans Pro"/>
          <w:b/>
          <w:bCs/>
          <w:sz w:val="21"/>
          <w:szCs w:val="21"/>
        </w:rPr>
        <w:t xml:space="preserve"> Monthly Meeting</w:t>
      </w:r>
    </w:p>
    <w:p w14:paraId="5C2F8786">
      <w:pPr>
        <w:pStyle w:val="style179"/>
        <w:numPr>
          <w:ilvl w:val="0"/>
          <w:numId w:val="1"/>
        </w:numPr>
        <w:spacing w:after="80" w:lineRule="auto" w:line="420"/>
        <w:rPr>
          <w:rFonts w:ascii="RobotoStatic" w:cs="Zawgyi-One" w:hAnsi="Source Sans Pro"/>
        </w:rPr>
      </w:pPr>
      <w:r>
        <w:rPr>
          <w:rFonts w:ascii="RobotoStatic" w:cs="Zawgyi-One" w:hAnsi="Source Sans Pro"/>
          <w:sz w:val="21"/>
          <w:szCs w:val="21"/>
        </w:rPr>
        <w:t>1. Welcome, quorum check and declarations of conflict of interest</w:t>
      </w:r>
    </w:p>
    <w:p w14:paraId="7DFD1316">
      <w:pPr>
        <w:pStyle w:val="style179"/>
        <w:numPr>
          <w:ilvl w:val="0"/>
          <w:numId w:val="1"/>
        </w:numPr>
        <w:spacing w:after="80" w:lineRule="auto" w:line="420"/>
        <w:rPr>
          <w:rFonts w:ascii="RobotoStatic" w:cs="Zawgyi-One" w:hAnsi="Source Sans Pro"/>
        </w:rPr>
      </w:pPr>
      <w:r>
        <w:rPr>
          <w:rFonts w:ascii="RobotoStatic" w:cs="Zawgyi-One" w:hAnsi="Source Sans Pro"/>
          <w:sz w:val="21"/>
          <w:szCs w:val="21"/>
        </w:rPr>
        <w:t>2. Review and approval of previous meeting's minutes and open actions</w:t>
      </w:r>
    </w:p>
    <w:p w14:paraId="ABE887C2">
      <w:pPr>
        <w:pStyle w:val="style179"/>
        <w:numPr>
          <w:ilvl w:val="0"/>
          <w:numId w:val="1"/>
        </w:numPr>
        <w:spacing w:after="80" w:lineRule="auto" w:line="420"/>
        <w:rPr>
          <w:rFonts w:ascii="RobotoStatic" w:cs="Zawgyi-One" w:hAnsi="Source Sans Pro"/>
        </w:rPr>
      </w:pPr>
      <w:r>
        <w:rPr>
          <w:rFonts w:ascii="RobotoStatic" w:cs="Zawgyi-One" w:hAnsi="Source Sans Pro"/>
          <w:sz w:val="21"/>
          <w:szCs w:val="21"/>
        </w:rPr>
        <w:t>3. Enterprise risk register update (CRO) new and changed cyber risks</w:t>
      </w:r>
    </w:p>
    <w:p w14:paraId="C5D401EB">
      <w:pPr>
        <w:pStyle w:val="style179"/>
        <w:numPr>
          <w:ilvl w:val="0"/>
          <w:numId w:val="1"/>
        </w:numPr>
        <w:spacing w:after="80" w:lineRule="auto" w:line="420"/>
        <w:rPr>
          <w:rFonts w:ascii="RobotoStatic" w:cs="Zawgyi-One" w:hAnsi="Source Sans Pro"/>
        </w:rPr>
      </w:pPr>
      <w:r>
        <w:rPr>
          <w:rFonts w:ascii="RobotoStatic" w:cs="Zawgyi-One" w:hAnsi="Source Sans Pro"/>
          <w:sz w:val="21"/>
          <w:szCs w:val="21"/>
        </w:rPr>
        <w:t>4. Incident Response Working Group report  incidents since last meeting, any Level 2+ escalations</w:t>
      </w:r>
    </w:p>
    <w:p w14:paraId="706A6717">
      <w:pPr>
        <w:pStyle w:val="style179"/>
        <w:numPr>
          <w:ilvl w:val="0"/>
          <w:numId w:val="1"/>
        </w:numPr>
        <w:spacing w:after="80" w:lineRule="auto" w:line="420"/>
        <w:rPr>
          <w:rFonts w:ascii="RobotoStatic" w:cs="Zawgyi-One" w:hAnsi="Source Sans Pro"/>
        </w:rPr>
      </w:pPr>
      <w:r>
        <w:rPr>
          <w:rFonts w:ascii="RobotoStatic" w:cs="Zawgyi-One" w:hAnsi="Source Sans Pro"/>
          <w:sz w:val="21"/>
          <w:szCs w:val="21"/>
        </w:rPr>
        <w:t>5. Policy items for approval (e.g. updated third-party risk policy)</w:t>
      </w:r>
    </w:p>
    <w:p w14:paraId="4ABCF976">
      <w:pPr>
        <w:pStyle w:val="style179"/>
        <w:numPr>
          <w:ilvl w:val="0"/>
          <w:numId w:val="1"/>
        </w:numPr>
        <w:spacing w:after="80" w:lineRule="auto" w:line="420"/>
        <w:rPr>
          <w:rFonts w:ascii="RobotoStatic" w:cs="Zawgyi-One" w:hAnsi="Source Sans Pro"/>
        </w:rPr>
      </w:pPr>
      <w:r>
        <w:rPr>
          <w:rFonts w:ascii="RobotoStatic" w:cs="Zawgyi-One" w:hAnsi="Source Sans Pro"/>
          <w:sz w:val="21"/>
          <w:szCs w:val="21"/>
        </w:rPr>
        <w:t>6. Business Unit Security Forum update rotating BU representative</w:t>
      </w:r>
    </w:p>
    <w:p w14:paraId="A56B443B">
      <w:pPr>
        <w:pStyle w:val="style179"/>
        <w:numPr>
          <w:ilvl w:val="0"/>
          <w:numId w:val="1"/>
        </w:numPr>
        <w:spacing w:after="80" w:lineRule="auto" w:line="420"/>
        <w:rPr>
          <w:rFonts w:ascii="RobotoStatic" w:cs="Zawgyi-One" w:hAnsi="Source Sans Pro"/>
        </w:rPr>
      </w:pPr>
      <w:r>
        <w:rPr>
          <w:rFonts w:ascii="RobotoStatic" w:cs="Zawgyi-One" w:hAnsi="Source Sans Pro"/>
          <w:sz w:val="21"/>
          <w:szCs w:val="21"/>
        </w:rPr>
        <w:t>7. Vulnerability remediation and security architecture exception requests</w:t>
      </w:r>
    </w:p>
    <w:p w14:paraId="B2503B28">
      <w:pPr>
        <w:pStyle w:val="style179"/>
        <w:numPr>
          <w:ilvl w:val="0"/>
          <w:numId w:val="1"/>
        </w:numPr>
        <w:spacing w:after="80" w:lineRule="auto" w:line="420"/>
        <w:rPr>
          <w:rFonts w:ascii="RobotoStatic" w:cs="Zawgyi-One" w:hAnsi="Source Sans Pro"/>
        </w:rPr>
      </w:pPr>
      <w:r>
        <w:rPr>
          <w:rFonts w:ascii="RobotoStatic" w:cs="Zawgyi-One" w:hAnsi="Source Sans Pro"/>
          <w:sz w:val="21"/>
          <w:szCs w:val="21"/>
        </w:rPr>
        <w:t>8. Budget/resourcing conflicts requiring committee decision</w:t>
      </w:r>
    </w:p>
    <w:p w14:paraId="0EE15503">
      <w:pPr>
        <w:pStyle w:val="style179"/>
        <w:numPr>
          <w:ilvl w:val="0"/>
          <w:numId w:val="1"/>
        </w:numPr>
        <w:spacing w:after="80" w:lineRule="auto" w:line="420"/>
        <w:rPr>
          <w:rFonts w:ascii="RobotoStatic" w:cs="Zawgyi-One" w:hAnsi="Source Sans Pro"/>
        </w:rPr>
      </w:pPr>
      <w:r>
        <w:rPr>
          <w:rFonts w:ascii="RobotoStatic" w:cs="Zawgyi-One" w:hAnsi="Source Sans Pro"/>
          <w:sz w:val="21"/>
          <w:szCs w:val="21"/>
        </w:rPr>
        <w:t>9. Items for referral to the Executive Security Council</w:t>
      </w:r>
    </w:p>
    <w:p w14:paraId="A67AE560">
      <w:pPr>
        <w:pStyle w:val="style179"/>
        <w:numPr>
          <w:ilvl w:val="0"/>
          <w:numId w:val="1"/>
        </w:numPr>
        <w:spacing w:after="80" w:lineRule="auto" w:line="420"/>
        <w:rPr>
          <w:rFonts w:ascii="RobotoStatic" w:cs="Zawgyi-One" w:hAnsi="Source Sans Pro"/>
        </w:rPr>
      </w:pPr>
      <w:r>
        <w:rPr>
          <w:rFonts w:ascii="RobotoStatic" w:cs="Zawgyi-One" w:hAnsi="Source Sans Pro"/>
          <w:sz w:val="21"/>
          <w:szCs w:val="21"/>
        </w:rPr>
        <w:t>10. Decision log review and sign-off; date of next meeting</w:t>
      </w:r>
    </w:p>
    <w:p w14:paraId="DFB5AE3B">
      <w:pPr>
        <w:pStyle w:val="style2"/>
        <w:spacing w:before="280" w:after="140" w:lineRule="auto" w:line="420"/>
        <w:rPr>
          <w:rFonts w:ascii="RobotoStatic" w:cs="Zawgyi-One" w:hAnsi="Source Sans Pro"/>
          <w:color w:val="auto"/>
        </w:rPr>
      </w:pPr>
      <w:r>
        <w:rPr>
          <w:rFonts w:ascii="RobotoStatic" w:cs="Zawgyi-One" w:hAnsi="Source Sans Pro"/>
          <w:b/>
          <w:bCs/>
          <w:color w:val="auto"/>
          <w:sz w:val="24"/>
          <w:szCs w:val="24"/>
        </w:rPr>
        <w:t>3.7 Sample Decision Log</w:t>
      </w:r>
    </w:p>
    <w:tbl>
      <w:tblPr>
        <w:tblW w:w="9360" w:type="dxa"/>
        <w:tblInd w:w="-15" w:type="dxa"/>
        <w:tblBorders>
          <w:top w:val="single" w:sz="4" w:space="0" w:color="b9c4ce"/>
          <w:left w:val="single" w:sz="4" w:space="0" w:color="b9c4ce"/>
          <w:bottom w:val="single" w:sz="4" w:space="0" w:color="b9c4ce"/>
          <w:right w:val="single" w:sz="4" w:space="0" w:color="b9c4ce"/>
          <w:insideH w:val="single" w:sz="4" w:space="0" w:color="b9c4ce"/>
          <w:insideV w:val="single" w:sz="4" w:space="0" w:color="b9c4ce"/>
        </w:tblBorders>
        <w:tblCellMar>
          <w:top w:w="0" w:type="dxa"/>
          <w:bottom w:w="0" w:type="dxa"/>
        </w:tblCellMar>
        <w:tblLook w:val="04A0" w:firstRow="1" w:lastRow="0" w:firstColumn="1" w:lastColumn="0" w:noHBand="0" w:noVBand="1"/>
      </w:tblPr>
      <w:tblGrid>
        <w:gridCol w:w="923"/>
        <w:gridCol w:w="1532"/>
        <w:gridCol w:w="1240"/>
        <w:gridCol w:w="1599"/>
        <w:gridCol w:w="1590"/>
        <w:gridCol w:w="1710"/>
        <w:gridCol w:w="769"/>
      </w:tblGrid>
      <w:tr w14:paraId="6CEC4492">
        <w:trPr>
          <w:tblHeader/>
        </w:trPr>
        <w:tc>
          <w:tcPr>
            <w:tcW w:w="1050" w:type="dxa"/>
            <w:tcBorders/>
            <w:shd w:val="clear" w:color="auto" w:fill="auto"/>
            <w:tcMar>
              <w:top w:w="80" w:type="dxa"/>
              <w:left w:w="100" w:type="dxa"/>
              <w:bottom w:w="80" w:type="dxa"/>
              <w:right w:w="100" w:type="dxa"/>
            </w:tcMar>
            <w:vAlign w:val="center"/>
          </w:tcPr>
          <w:p w14:paraId="D158408E">
            <w:pPr>
              <w:pStyle w:val="style0"/>
              <w:spacing w:lineRule="auto" w:line="420"/>
              <w:jc w:val="center"/>
              <w:rPr>
                <w:rFonts w:ascii="RobotoStatic" w:cs="Zawgyi-One" w:hAnsi="Source Sans Pro"/>
              </w:rPr>
            </w:pPr>
            <w:r>
              <w:rPr>
                <w:rFonts w:ascii="RobotoStatic" w:cs="Zawgyi-One" w:hAnsi="Source Sans Pro"/>
                <w:b/>
                <w:bCs/>
                <w:sz w:val="18"/>
                <w:szCs w:val="18"/>
              </w:rPr>
              <w:t>Date</w:t>
            </w:r>
          </w:p>
        </w:tc>
        <w:tc>
          <w:tcPr>
            <w:tcW w:w="1700" w:type="dxa"/>
            <w:tcBorders/>
            <w:shd w:val="clear" w:color="auto" w:fill="auto"/>
            <w:tcMar>
              <w:top w:w="80" w:type="dxa"/>
              <w:left w:w="100" w:type="dxa"/>
              <w:bottom w:w="80" w:type="dxa"/>
              <w:right w:w="100" w:type="dxa"/>
            </w:tcMar>
            <w:vAlign w:val="center"/>
          </w:tcPr>
          <w:p w14:paraId="ADAF1F74">
            <w:pPr>
              <w:pStyle w:val="style0"/>
              <w:spacing w:lineRule="auto" w:line="420"/>
              <w:jc w:val="center"/>
              <w:rPr>
                <w:rFonts w:ascii="RobotoStatic" w:cs="Zawgyi-One" w:hAnsi="Source Sans Pro"/>
              </w:rPr>
            </w:pPr>
            <w:r>
              <w:rPr>
                <w:rFonts w:ascii="RobotoStatic" w:cs="Zawgyi-One" w:hAnsi="Source Sans Pro"/>
                <w:b/>
                <w:bCs/>
                <w:sz w:val="18"/>
                <w:szCs w:val="18"/>
              </w:rPr>
              <w:t>Decision / Issue</w:t>
            </w:r>
          </w:p>
        </w:tc>
        <w:tc>
          <w:tcPr>
            <w:tcW w:w="1300" w:type="dxa"/>
            <w:tcBorders/>
            <w:shd w:val="clear" w:color="auto" w:fill="auto"/>
            <w:tcMar>
              <w:top w:w="80" w:type="dxa"/>
              <w:left w:w="100" w:type="dxa"/>
              <w:bottom w:w="80" w:type="dxa"/>
              <w:right w:w="100" w:type="dxa"/>
            </w:tcMar>
            <w:vAlign w:val="center"/>
          </w:tcPr>
          <w:p w14:paraId="06EFD53D">
            <w:pPr>
              <w:pStyle w:val="style0"/>
              <w:spacing w:lineRule="auto" w:line="420"/>
              <w:jc w:val="center"/>
              <w:rPr>
                <w:rFonts w:ascii="RobotoStatic" w:cs="Zawgyi-One" w:hAnsi="Source Sans Pro"/>
              </w:rPr>
            </w:pPr>
            <w:r>
              <w:rPr>
                <w:rFonts w:ascii="RobotoStatic" w:cs="Zawgyi-One" w:hAnsi="Source Sans Pro"/>
                <w:b/>
                <w:bCs/>
                <w:sz w:val="18"/>
                <w:szCs w:val="18"/>
              </w:rPr>
              <w:t>Decision Owner</w:t>
            </w:r>
          </w:p>
        </w:tc>
        <w:tc>
          <w:tcPr>
            <w:tcW w:w="1700" w:type="dxa"/>
            <w:tcBorders/>
            <w:shd w:val="clear" w:color="auto" w:fill="auto"/>
            <w:tcMar>
              <w:top w:w="80" w:type="dxa"/>
              <w:left w:w="100" w:type="dxa"/>
              <w:bottom w:w="80" w:type="dxa"/>
              <w:right w:w="100" w:type="dxa"/>
            </w:tcMar>
            <w:vAlign w:val="center"/>
          </w:tcPr>
          <w:p w14:paraId="AB9F5F91">
            <w:pPr>
              <w:pStyle w:val="style0"/>
              <w:spacing w:lineRule="auto" w:line="420"/>
              <w:jc w:val="center"/>
              <w:rPr>
                <w:rFonts w:ascii="RobotoStatic" w:cs="Zawgyi-One" w:hAnsi="Source Sans Pro"/>
              </w:rPr>
            </w:pPr>
            <w:r>
              <w:rPr>
                <w:rFonts w:ascii="RobotoStatic" w:cs="Zawgyi-One" w:hAnsi="Source Sans Pro"/>
                <w:b/>
                <w:bCs/>
                <w:sz w:val="18"/>
                <w:szCs w:val="18"/>
              </w:rPr>
              <w:t>Decision</w:t>
            </w:r>
          </w:p>
        </w:tc>
        <w:tc>
          <w:tcPr>
            <w:tcW w:w="1750" w:type="dxa"/>
            <w:tcBorders/>
            <w:shd w:val="clear" w:color="auto" w:fill="auto"/>
            <w:tcMar>
              <w:top w:w="80" w:type="dxa"/>
              <w:left w:w="100" w:type="dxa"/>
              <w:bottom w:w="80" w:type="dxa"/>
              <w:right w:w="100" w:type="dxa"/>
            </w:tcMar>
            <w:vAlign w:val="center"/>
          </w:tcPr>
          <w:p w14:paraId="4E66C84B">
            <w:pPr>
              <w:pStyle w:val="style0"/>
              <w:spacing w:lineRule="auto" w:line="420"/>
              <w:jc w:val="center"/>
              <w:rPr>
                <w:rFonts w:ascii="RobotoStatic" w:cs="Zawgyi-One" w:hAnsi="Source Sans Pro"/>
              </w:rPr>
            </w:pPr>
            <w:r>
              <w:rPr>
                <w:rFonts w:ascii="RobotoStatic" w:cs="Zawgyi-One" w:hAnsi="Source Sans Pro"/>
                <w:b/>
                <w:bCs/>
                <w:sz w:val="18"/>
                <w:szCs w:val="18"/>
              </w:rPr>
              <w:t>Rationale</w:t>
            </w:r>
          </w:p>
        </w:tc>
        <w:tc>
          <w:tcPr>
            <w:tcW w:w="1400" w:type="dxa"/>
            <w:tcBorders/>
            <w:shd w:val="clear" w:color="auto" w:fill="auto"/>
            <w:tcMar>
              <w:top w:w="80" w:type="dxa"/>
              <w:left w:w="100" w:type="dxa"/>
              <w:bottom w:w="80" w:type="dxa"/>
              <w:right w:w="100" w:type="dxa"/>
            </w:tcMar>
            <w:vAlign w:val="center"/>
          </w:tcPr>
          <w:p w14:paraId="C0C33DA0">
            <w:pPr>
              <w:pStyle w:val="style0"/>
              <w:spacing w:lineRule="auto" w:line="420"/>
              <w:jc w:val="center"/>
              <w:rPr>
                <w:rFonts w:ascii="RobotoStatic" w:cs="Zawgyi-One" w:hAnsi="Source Sans Pro"/>
              </w:rPr>
            </w:pPr>
            <w:r>
              <w:rPr>
                <w:rFonts w:ascii="RobotoStatic" w:cs="Zawgyi-One" w:hAnsi="Source Sans Pro"/>
                <w:b/>
                <w:bCs/>
                <w:sz w:val="18"/>
                <w:szCs w:val="18"/>
              </w:rPr>
              <w:t>Actions / Owner</w:t>
            </w:r>
          </w:p>
        </w:tc>
        <w:tc>
          <w:tcPr>
            <w:tcW w:w="460" w:type="dxa"/>
            <w:tcBorders/>
            <w:shd w:val="clear" w:color="auto" w:fill="auto"/>
            <w:tcMar>
              <w:top w:w="80" w:type="dxa"/>
              <w:left w:w="100" w:type="dxa"/>
              <w:bottom w:w="80" w:type="dxa"/>
              <w:right w:w="100" w:type="dxa"/>
            </w:tcMar>
            <w:vAlign w:val="center"/>
          </w:tcPr>
          <w:p w14:paraId="3A9DFDE4">
            <w:pPr>
              <w:pStyle w:val="style0"/>
              <w:spacing w:lineRule="auto" w:line="420"/>
              <w:jc w:val="center"/>
              <w:rPr>
                <w:rFonts w:ascii="RobotoStatic" w:cs="Zawgyi-One" w:hAnsi="Source Sans Pro"/>
              </w:rPr>
            </w:pPr>
            <w:r>
              <w:rPr>
                <w:rFonts w:ascii="RobotoStatic" w:cs="Zawgyi-One" w:hAnsi="Source Sans Pro"/>
                <w:b/>
                <w:bCs/>
                <w:sz w:val="18"/>
                <w:szCs w:val="18"/>
              </w:rPr>
              <w:t>Review Date</w:t>
            </w:r>
          </w:p>
        </w:tc>
      </w:tr>
      <w:tr w14:paraId="8F558636">
        <w:tblPrEx/>
        <w:trPr/>
        <w:tc>
          <w:tcPr>
            <w:tcW w:w="1050" w:type="dxa"/>
            <w:tcBorders/>
            <w:shd w:val="clear" w:color="auto" w:fill="auto"/>
            <w:tcMar>
              <w:top w:w="80" w:type="dxa"/>
              <w:left w:w="100" w:type="dxa"/>
              <w:bottom w:w="80" w:type="dxa"/>
              <w:right w:w="100" w:type="dxa"/>
            </w:tcMar>
            <w:vAlign w:val="center"/>
          </w:tcPr>
          <w:p w14:paraId="94BAF65E">
            <w:pPr>
              <w:pStyle w:val="style0"/>
              <w:spacing w:lineRule="auto" w:line="420"/>
              <w:rPr>
                <w:rFonts w:ascii="RobotoStatic" w:cs="Zawgyi-One" w:hAnsi="Source Sans Pro"/>
              </w:rPr>
            </w:pPr>
            <w:r>
              <w:rPr>
                <w:rFonts w:ascii="RobotoStatic" w:cs="Zawgyi-One" w:hAnsi="Source Sans Pro"/>
                <w:sz w:val="18"/>
                <w:szCs w:val="18"/>
              </w:rPr>
              <w:t>14-Jan-2027</w:t>
            </w:r>
          </w:p>
        </w:tc>
        <w:tc>
          <w:tcPr>
            <w:tcW w:w="1700" w:type="dxa"/>
            <w:tcBorders/>
            <w:shd w:val="clear" w:color="auto" w:fill="auto"/>
            <w:tcMar>
              <w:top w:w="80" w:type="dxa"/>
              <w:left w:w="100" w:type="dxa"/>
              <w:bottom w:w="80" w:type="dxa"/>
              <w:right w:w="100" w:type="dxa"/>
            </w:tcMar>
            <w:vAlign w:val="center"/>
          </w:tcPr>
          <w:p w14:paraId="A9DFC054">
            <w:pPr>
              <w:pStyle w:val="style0"/>
              <w:spacing w:lineRule="auto" w:line="420"/>
              <w:rPr>
                <w:rFonts w:ascii="RobotoStatic" w:cs="Zawgyi-One" w:hAnsi="Source Sans Pro"/>
              </w:rPr>
            </w:pPr>
            <w:r>
              <w:rPr>
                <w:rFonts w:ascii="RobotoStatic" w:cs="Zawgyi-One" w:hAnsi="Source Sans Pro"/>
                <w:sz w:val="18"/>
                <w:szCs w:val="18"/>
              </w:rPr>
              <w:t>Exception request: delay MFA rollout for legacy ERP</w:t>
            </w:r>
          </w:p>
        </w:tc>
        <w:tc>
          <w:tcPr>
            <w:tcW w:w="1300" w:type="dxa"/>
            <w:tcBorders/>
            <w:shd w:val="clear" w:color="auto" w:fill="auto"/>
            <w:tcMar>
              <w:top w:w="80" w:type="dxa"/>
              <w:left w:w="100" w:type="dxa"/>
              <w:bottom w:w="80" w:type="dxa"/>
              <w:right w:w="100" w:type="dxa"/>
            </w:tcMar>
            <w:vAlign w:val="center"/>
          </w:tcPr>
          <w:p w14:paraId="9D25DAE8">
            <w:pPr>
              <w:pStyle w:val="style0"/>
              <w:spacing w:lineRule="auto" w:line="420"/>
              <w:rPr>
                <w:rFonts w:ascii="RobotoStatic" w:cs="Zawgyi-One" w:hAnsi="Source Sans Pro"/>
              </w:rPr>
            </w:pPr>
            <w:r>
              <w:rPr>
                <w:rFonts w:ascii="RobotoStatic" w:cs="Zawgyi-One" w:hAnsi="Source Sans Pro"/>
                <w:sz w:val="18"/>
                <w:szCs w:val="18"/>
              </w:rPr>
              <w:t>CISO</w:t>
            </w:r>
          </w:p>
        </w:tc>
        <w:tc>
          <w:tcPr>
            <w:tcW w:w="1700" w:type="dxa"/>
            <w:tcBorders/>
            <w:shd w:val="clear" w:color="auto" w:fill="auto"/>
            <w:tcMar>
              <w:top w:w="80" w:type="dxa"/>
              <w:left w:w="100" w:type="dxa"/>
              <w:bottom w:w="80" w:type="dxa"/>
              <w:right w:w="100" w:type="dxa"/>
            </w:tcMar>
            <w:vAlign w:val="center"/>
          </w:tcPr>
          <w:p w14:paraId="193F31D4">
            <w:pPr>
              <w:pStyle w:val="style0"/>
              <w:spacing w:lineRule="auto" w:line="420"/>
              <w:rPr>
                <w:rFonts w:ascii="RobotoStatic" w:cs="Zawgyi-One" w:hAnsi="Source Sans Pro"/>
              </w:rPr>
            </w:pPr>
            <w:r>
              <w:rPr>
                <w:rFonts w:ascii="RobotoStatic" w:cs="Zawgyi-One" w:hAnsi="Source Sans Pro"/>
                <w:sz w:val="18"/>
                <w:szCs w:val="18"/>
              </w:rPr>
              <w:t>Approved for 90 days with compensating monitoring control</w:t>
            </w:r>
          </w:p>
        </w:tc>
        <w:tc>
          <w:tcPr>
            <w:tcW w:w="1750" w:type="dxa"/>
            <w:tcBorders/>
            <w:shd w:val="clear" w:color="auto" w:fill="auto"/>
            <w:tcMar>
              <w:top w:w="80" w:type="dxa"/>
              <w:left w:w="100" w:type="dxa"/>
              <w:bottom w:w="80" w:type="dxa"/>
              <w:right w:w="100" w:type="dxa"/>
            </w:tcMar>
            <w:vAlign w:val="center"/>
          </w:tcPr>
          <w:p w14:paraId="C0672513">
            <w:pPr>
              <w:pStyle w:val="style0"/>
              <w:spacing w:lineRule="auto" w:line="420"/>
              <w:rPr>
                <w:rFonts w:ascii="RobotoStatic" w:cs="Zawgyi-One" w:hAnsi="Source Sans Pro"/>
              </w:rPr>
            </w:pPr>
            <w:r>
              <w:rPr>
                <w:rFonts w:ascii="RobotoStatic" w:cs="Zawgyi-One" w:hAnsi="Source Sans Pro"/>
                <w:sz w:val="18"/>
                <w:szCs w:val="18"/>
              </w:rPr>
              <w:t>Vendor cannot support MFA until Q2 patch; risk accepted as temporary and monitored</w:t>
            </w:r>
          </w:p>
        </w:tc>
        <w:tc>
          <w:tcPr>
            <w:tcW w:w="1400" w:type="dxa"/>
            <w:tcBorders/>
            <w:shd w:val="clear" w:color="auto" w:fill="auto"/>
            <w:tcMar>
              <w:top w:w="80" w:type="dxa"/>
              <w:left w:w="100" w:type="dxa"/>
              <w:bottom w:w="80" w:type="dxa"/>
              <w:right w:w="100" w:type="dxa"/>
            </w:tcMar>
            <w:vAlign w:val="center"/>
          </w:tcPr>
          <w:p w14:paraId="0145D5E6">
            <w:pPr>
              <w:pStyle w:val="style0"/>
              <w:spacing w:lineRule="auto" w:line="420"/>
              <w:rPr>
                <w:rFonts w:ascii="RobotoStatic" w:cs="Zawgyi-One" w:hAnsi="Source Sans Pro"/>
              </w:rPr>
            </w:pPr>
            <w:r>
              <w:rPr>
                <w:rFonts w:ascii="RobotoStatic" w:cs="Zawgyi-One" w:hAnsi="Source Sans Pro"/>
                <w:sz w:val="18"/>
                <w:szCs w:val="18"/>
              </w:rPr>
              <w:t>IT to implement enhanced logging; owner: IT Infrastructure Lead</w:t>
            </w:r>
          </w:p>
        </w:tc>
        <w:tc>
          <w:tcPr>
            <w:tcW w:w="460" w:type="dxa"/>
            <w:tcBorders/>
            <w:shd w:val="clear" w:color="auto" w:fill="auto"/>
            <w:tcMar>
              <w:top w:w="80" w:type="dxa"/>
              <w:left w:w="100" w:type="dxa"/>
              <w:bottom w:w="80" w:type="dxa"/>
              <w:right w:w="100" w:type="dxa"/>
            </w:tcMar>
            <w:vAlign w:val="center"/>
          </w:tcPr>
          <w:p w14:paraId="47E24A81">
            <w:pPr>
              <w:pStyle w:val="style0"/>
              <w:spacing w:lineRule="auto" w:line="420"/>
              <w:rPr>
                <w:rFonts w:ascii="RobotoStatic" w:cs="Zawgyi-One" w:hAnsi="Source Sans Pro"/>
              </w:rPr>
            </w:pPr>
            <w:r>
              <w:rPr>
                <w:rFonts w:ascii="RobotoStatic" w:cs="Zawgyi-One" w:hAnsi="Source Sans Pro"/>
                <w:sz w:val="18"/>
                <w:szCs w:val="18"/>
              </w:rPr>
              <w:t>14-Apr-2027</w:t>
            </w:r>
          </w:p>
        </w:tc>
      </w:tr>
      <w:tr w14:paraId="9C490D44">
        <w:tblPrEx/>
        <w:trPr/>
        <w:tc>
          <w:tcPr>
            <w:tcW w:w="1050" w:type="dxa"/>
            <w:tcBorders/>
            <w:shd w:val="clear" w:color="auto" w:fill="auto"/>
            <w:tcMar>
              <w:top w:w="80" w:type="dxa"/>
              <w:left w:w="100" w:type="dxa"/>
              <w:bottom w:w="80" w:type="dxa"/>
              <w:right w:w="100" w:type="dxa"/>
            </w:tcMar>
            <w:vAlign w:val="center"/>
          </w:tcPr>
          <w:p w14:paraId="EE61EEA3">
            <w:pPr>
              <w:pStyle w:val="style0"/>
              <w:spacing w:lineRule="auto" w:line="420"/>
              <w:rPr>
                <w:rFonts w:ascii="RobotoStatic" w:cs="Zawgyi-One" w:hAnsi="Source Sans Pro"/>
              </w:rPr>
            </w:pPr>
            <w:r>
              <w:rPr>
                <w:rFonts w:ascii="RobotoStatic" w:cs="Zawgyi-One" w:hAnsi="Source Sans Pro"/>
                <w:sz w:val="18"/>
                <w:szCs w:val="18"/>
              </w:rPr>
              <w:t>11-Feb-2027</w:t>
            </w:r>
          </w:p>
        </w:tc>
        <w:tc>
          <w:tcPr>
            <w:tcW w:w="1700" w:type="dxa"/>
            <w:tcBorders/>
            <w:shd w:val="clear" w:color="auto" w:fill="auto"/>
            <w:tcMar>
              <w:top w:w="80" w:type="dxa"/>
              <w:left w:w="100" w:type="dxa"/>
              <w:bottom w:w="80" w:type="dxa"/>
              <w:right w:w="100" w:type="dxa"/>
            </w:tcMar>
            <w:vAlign w:val="center"/>
          </w:tcPr>
          <w:p w14:paraId="91D52D67">
            <w:pPr>
              <w:pStyle w:val="style0"/>
              <w:spacing w:lineRule="auto" w:line="420"/>
              <w:rPr>
                <w:rFonts w:ascii="RobotoStatic" w:cs="Zawgyi-One" w:hAnsi="Source Sans Pro"/>
              </w:rPr>
            </w:pPr>
            <w:r>
              <w:rPr>
                <w:rFonts w:ascii="RobotoStatic" w:cs="Zawgyi-One" w:hAnsi="Source Sans Pro"/>
                <w:sz w:val="18"/>
                <w:szCs w:val="18"/>
              </w:rPr>
              <w:t>Third-party risk: new payment processor onboarding</w:t>
            </w:r>
          </w:p>
        </w:tc>
        <w:tc>
          <w:tcPr>
            <w:tcW w:w="1300" w:type="dxa"/>
            <w:tcBorders/>
            <w:shd w:val="clear" w:color="auto" w:fill="auto"/>
            <w:tcMar>
              <w:top w:w="80" w:type="dxa"/>
              <w:left w:w="100" w:type="dxa"/>
              <w:bottom w:w="80" w:type="dxa"/>
              <w:right w:w="100" w:type="dxa"/>
            </w:tcMar>
            <w:vAlign w:val="center"/>
          </w:tcPr>
          <w:p w14:paraId="67D5600F">
            <w:pPr>
              <w:pStyle w:val="style0"/>
              <w:spacing w:lineRule="auto" w:line="420"/>
              <w:rPr>
                <w:rFonts w:ascii="RobotoStatic" w:cs="Zawgyi-One" w:hAnsi="Source Sans Pro"/>
              </w:rPr>
            </w:pPr>
            <w:r>
              <w:rPr>
                <w:rFonts w:ascii="RobotoStatic" w:cs="Zawgyi-One" w:hAnsi="Source Sans Pro"/>
                <w:sz w:val="18"/>
                <w:szCs w:val="18"/>
              </w:rPr>
              <w:t>Steering Committee</w:t>
            </w:r>
          </w:p>
        </w:tc>
        <w:tc>
          <w:tcPr>
            <w:tcW w:w="1700" w:type="dxa"/>
            <w:tcBorders/>
            <w:shd w:val="clear" w:color="auto" w:fill="auto"/>
            <w:tcMar>
              <w:top w:w="80" w:type="dxa"/>
              <w:left w:w="100" w:type="dxa"/>
              <w:bottom w:w="80" w:type="dxa"/>
              <w:right w:w="100" w:type="dxa"/>
            </w:tcMar>
            <w:vAlign w:val="center"/>
          </w:tcPr>
          <w:p w14:paraId="BFDFAC24">
            <w:pPr>
              <w:pStyle w:val="style0"/>
              <w:spacing w:lineRule="auto" w:line="420"/>
              <w:rPr>
                <w:rFonts w:ascii="RobotoStatic" w:cs="Zawgyi-One" w:hAnsi="Source Sans Pro"/>
              </w:rPr>
            </w:pPr>
            <w:r>
              <w:rPr>
                <w:rFonts w:ascii="RobotoStatic" w:cs="Zawgyi-One" w:hAnsi="Source Sans Pro"/>
                <w:sz w:val="18"/>
                <w:szCs w:val="18"/>
              </w:rPr>
              <w:t>Approved subject to completion of security questionnaire and penetration test evidence</w:t>
            </w:r>
          </w:p>
        </w:tc>
        <w:tc>
          <w:tcPr>
            <w:tcW w:w="1750" w:type="dxa"/>
            <w:tcBorders/>
            <w:shd w:val="clear" w:color="auto" w:fill="auto"/>
            <w:tcMar>
              <w:top w:w="80" w:type="dxa"/>
              <w:left w:w="100" w:type="dxa"/>
              <w:bottom w:w="80" w:type="dxa"/>
              <w:right w:w="100" w:type="dxa"/>
            </w:tcMar>
            <w:vAlign w:val="center"/>
          </w:tcPr>
          <w:p w14:paraId="BBD25019">
            <w:pPr>
              <w:pStyle w:val="style0"/>
              <w:spacing w:lineRule="auto" w:line="420"/>
              <w:rPr>
                <w:rFonts w:ascii="RobotoStatic" w:cs="Zawgyi-One" w:hAnsi="Source Sans Pro"/>
              </w:rPr>
            </w:pPr>
            <w:r>
              <w:rPr>
                <w:rFonts w:ascii="RobotoStatic" w:cs="Zawgyi-One" w:hAnsi="Source Sans Pro"/>
                <w:sz w:val="18"/>
                <w:szCs w:val="18"/>
              </w:rPr>
              <w:t>Vendor handles card data; standard onboarding review insufficient given data sensitivity</w:t>
            </w:r>
          </w:p>
        </w:tc>
        <w:tc>
          <w:tcPr>
            <w:tcW w:w="1400" w:type="dxa"/>
            <w:tcBorders/>
            <w:shd w:val="clear" w:color="auto" w:fill="auto"/>
            <w:tcMar>
              <w:top w:w="80" w:type="dxa"/>
              <w:left w:w="100" w:type="dxa"/>
              <w:bottom w:w="80" w:type="dxa"/>
              <w:right w:w="100" w:type="dxa"/>
            </w:tcMar>
            <w:vAlign w:val="center"/>
          </w:tcPr>
          <w:p w14:paraId="74E75E07">
            <w:pPr>
              <w:pStyle w:val="style0"/>
              <w:spacing w:lineRule="auto" w:line="420"/>
              <w:rPr>
                <w:rFonts w:ascii="RobotoStatic" w:cs="Zawgyi-One" w:hAnsi="Source Sans Pro"/>
              </w:rPr>
            </w:pPr>
            <w:r>
              <w:rPr>
                <w:rFonts w:ascii="RobotoStatic" w:cs="Zawgyi-One" w:hAnsi="Source Sans Pro"/>
                <w:sz w:val="18"/>
                <w:szCs w:val="18"/>
              </w:rPr>
              <w:t>Procurement/CISO to obtain pen-test evidence before contract signature; owner: CISO</w:t>
            </w:r>
          </w:p>
        </w:tc>
        <w:tc>
          <w:tcPr>
            <w:tcW w:w="460" w:type="dxa"/>
            <w:tcBorders/>
            <w:shd w:val="clear" w:color="auto" w:fill="auto"/>
            <w:tcMar>
              <w:top w:w="80" w:type="dxa"/>
              <w:left w:w="100" w:type="dxa"/>
              <w:bottom w:w="80" w:type="dxa"/>
              <w:right w:w="100" w:type="dxa"/>
            </w:tcMar>
            <w:vAlign w:val="center"/>
          </w:tcPr>
          <w:p w14:paraId="9318B11A">
            <w:pPr>
              <w:pStyle w:val="style0"/>
              <w:spacing w:lineRule="auto" w:line="420"/>
              <w:rPr>
                <w:rFonts w:ascii="RobotoStatic" w:cs="Zawgyi-One" w:hAnsi="Source Sans Pro"/>
              </w:rPr>
            </w:pPr>
            <w:r>
              <w:rPr>
                <w:rFonts w:ascii="RobotoStatic" w:cs="Zawgyi-One" w:hAnsi="Source Sans Pro"/>
                <w:sz w:val="18"/>
                <w:szCs w:val="18"/>
              </w:rPr>
              <w:t>11-May-2027</w:t>
            </w:r>
          </w:p>
        </w:tc>
      </w:tr>
      <w:tr w14:paraId="0C5472CC">
        <w:tblPrEx/>
        <w:trPr/>
        <w:tc>
          <w:tcPr>
            <w:tcW w:w="1050" w:type="dxa"/>
            <w:tcBorders/>
            <w:shd w:val="clear" w:color="auto" w:fill="auto"/>
            <w:tcMar>
              <w:top w:w="80" w:type="dxa"/>
              <w:left w:w="100" w:type="dxa"/>
              <w:bottom w:w="80" w:type="dxa"/>
              <w:right w:w="100" w:type="dxa"/>
            </w:tcMar>
            <w:vAlign w:val="center"/>
          </w:tcPr>
          <w:p w14:paraId="891441FB">
            <w:pPr>
              <w:pStyle w:val="style0"/>
              <w:spacing w:lineRule="auto" w:line="420"/>
              <w:rPr>
                <w:rFonts w:ascii="RobotoStatic" w:cs="Zawgyi-One" w:hAnsi="Source Sans Pro"/>
              </w:rPr>
            </w:pPr>
            <w:r>
              <w:rPr>
                <w:rFonts w:ascii="RobotoStatic" w:cs="Zawgyi-One" w:hAnsi="Source Sans Pro"/>
                <w:sz w:val="18"/>
                <w:szCs w:val="18"/>
              </w:rPr>
              <w:t>09-Mar-2027</w:t>
            </w:r>
          </w:p>
        </w:tc>
        <w:tc>
          <w:tcPr>
            <w:tcW w:w="1700" w:type="dxa"/>
            <w:tcBorders/>
            <w:shd w:val="clear" w:color="auto" w:fill="auto"/>
            <w:tcMar>
              <w:top w:w="80" w:type="dxa"/>
              <w:left w:w="100" w:type="dxa"/>
              <w:bottom w:w="80" w:type="dxa"/>
              <w:right w:w="100" w:type="dxa"/>
            </w:tcMar>
            <w:vAlign w:val="center"/>
          </w:tcPr>
          <w:p w14:paraId="C11786C5">
            <w:pPr>
              <w:pStyle w:val="style0"/>
              <w:spacing w:lineRule="auto" w:line="420"/>
              <w:rPr>
                <w:rFonts w:ascii="RobotoStatic" w:cs="Zawgyi-One" w:hAnsi="Source Sans Pro"/>
              </w:rPr>
            </w:pPr>
            <w:r>
              <w:rPr>
                <w:rFonts w:ascii="RobotoStatic" w:cs="Zawgyi-One" w:hAnsi="Source Sans Pro"/>
                <w:sz w:val="18"/>
                <w:szCs w:val="18"/>
              </w:rPr>
              <w:t>Regional office (Lagos) requests local exception to remote-access policy</w:t>
            </w:r>
          </w:p>
        </w:tc>
        <w:tc>
          <w:tcPr>
            <w:tcW w:w="1300" w:type="dxa"/>
            <w:tcBorders/>
            <w:shd w:val="clear" w:color="auto" w:fill="auto"/>
            <w:tcMar>
              <w:top w:w="80" w:type="dxa"/>
              <w:left w:w="100" w:type="dxa"/>
              <w:bottom w:w="80" w:type="dxa"/>
              <w:right w:w="100" w:type="dxa"/>
            </w:tcMar>
            <w:vAlign w:val="center"/>
          </w:tcPr>
          <w:p w14:paraId="1AD24AFB">
            <w:pPr>
              <w:pStyle w:val="style0"/>
              <w:spacing w:lineRule="auto" w:line="420"/>
              <w:rPr>
                <w:rFonts w:ascii="RobotoStatic" w:cs="Zawgyi-One" w:hAnsi="Source Sans Pro"/>
              </w:rPr>
            </w:pPr>
            <w:r>
              <w:rPr>
                <w:rFonts w:ascii="RobotoStatic" w:cs="Zawgyi-One" w:hAnsi="Source Sans Pro"/>
                <w:sz w:val="18"/>
                <w:szCs w:val="18"/>
              </w:rPr>
              <w:t>Steering Committee (referred by BU Forum)</w:t>
            </w:r>
          </w:p>
        </w:tc>
        <w:tc>
          <w:tcPr>
            <w:tcW w:w="1700" w:type="dxa"/>
            <w:tcBorders/>
            <w:shd w:val="clear" w:color="auto" w:fill="auto"/>
            <w:tcMar>
              <w:top w:w="80" w:type="dxa"/>
              <w:left w:w="100" w:type="dxa"/>
              <w:bottom w:w="80" w:type="dxa"/>
              <w:right w:w="100" w:type="dxa"/>
            </w:tcMar>
            <w:vAlign w:val="center"/>
          </w:tcPr>
          <w:p w14:paraId="DA543CB9">
            <w:pPr>
              <w:pStyle w:val="style0"/>
              <w:spacing w:lineRule="auto" w:line="420"/>
              <w:rPr>
                <w:rFonts w:ascii="RobotoStatic" w:cs="Zawgyi-One" w:hAnsi="Source Sans Pro"/>
              </w:rPr>
            </w:pPr>
            <w:r>
              <w:rPr>
                <w:rFonts w:ascii="RobotoStatic" w:cs="Zawgyi-One" w:hAnsi="Source Sans Pro"/>
                <w:sz w:val="18"/>
                <w:szCs w:val="18"/>
              </w:rPr>
              <w:t>Declined; standard policy to apply with phased rollout support</w:t>
            </w:r>
          </w:p>
        </w:tc>
        <w:tc>
          <w:tcPr>
            <w:tcW w:w="1750" w:type="dxa"/>
            <w:tcBorders/>
            <w:shd w:val="clear" w:color="auto" w:fill="auto"/>
            <w:tcMar>
              <w:top w:w="80" w:type="dxa"/>
              <w:left w:w="100" w:type="dxa"/>
              <w:bottom w:w="80" w:type="dxa"/>
              <w:right w:w="100" w:type="dxa"/>
            </w:tcMar>
            <w:vAlign w:val="center"/>
          </w:tcPr>
          <w:p w14:paraId="4EF66117">
            <w:pPr>
              <w:pStyle w:val="style0"/>
              <w:spacing w:lineRule="auto" w:line="420"/>
              <w:rPr>
                <w:rFonts w:ascii="RobotoStatic" w:cs="Zawgyi-One" w:hAnsi="Source Sans Pro"/>
              </w:rPr>
            </w:pPr>
            <w:r>
              <w:rPr>
                <w:rFonts w:ascii="RobotoStatic" w:cs="Zawgyi-One" w:hAnsi="Source Sans Pro"/>
                <w:sz w:val="18"/>
                <w:szCs w:val="18"/>
              </w:rPr>
              <w:t>Inconsistent regional exceptions were identified as Weakness 3; granting this would recreate it</w:t>
            </w:r>
          </w:p>
        </w:tc>
        <w:tc>
          <w:tcPr>
            <w:tcW w:w="1400" w:type="dxa"/>
            <w:tcBorders/>
            <w:shd w:val="clear" w:color="auto" w:fill="auto"/>
            <w:tcMar>
              <w:top w:w="80" w:type="dxa"/>
              <w:left w:w="100" w:type="dxa"/>
              <w:bottom w:w="80" w:type="dxa"/>
              <w:right w:w="100" w:type="dxa"/>
            </w:tcMar>
            <w:vAlign w:val="center"/>
          </w:tcPr>
          <w:p w14:paraId="73FA40DE">
            <w:pPr>
              <w:pStyle w:val="style0"/>
              <w:spacing w:lineRule="auto" w:line="420"/>
              <w:rPr>
                <w:rFonts w:ascii="RobotoStatic" w:cs="Zawgyi-One" w:hAnsi="Source Sans Pro"/>
              </w:rPr>
            </w:pPr>
            <w:r>
              <w:rPr>
                <w:rFonts w:ascii="RobotoStatic" w:cs="Zawgyi-One" w:hAnsi="Source Sans Pro"/>
                <w:sz w:val="18"/>
                <w:szCs w:val="18"/>
              </w:rPr>
              <w:t>IT to provide phased rollout support to Lagos office; owner: IT Infrastructure Lead</w:t>
            </w:r>
          </w:p>
        </w:tc>
        <w:tc>
          <w:tcPr>
            <w:tcW w:w="460" w:type="dxa"/>
            <w:tcBorders/>
            <w:shd w:val="clear" w:color="auto" w:fill="auto"/>
            <w:tcMar>
              <w:top w:w="80" w:type="dxa"/>
              <w:left w:w="100" w:type="dxa"/>
              <w:bottom w:w="80" w:type="dxa"/>
              <w:right w:w="100" w:type="dxa"/>
            </w:tcMar>
            <w:vAlign w:val="center"/>
          </w:tcPr>
          <w:p w14:paraId="5E43B010">
            <w:pPr>
              <w:pStyle w:val="style0"/>
              <w:spacing w:lineRule="auto" w:line="420"/>
              <w:rPr>
                <w:rFonts w:ascii="RobotoStatic" w:cs="Zawgyi-One" w:hAnsi="Source Sans Pro"/>
              </w:rPr>
            </w:pPr>
            <w:r>
              <w:rPr>
                <w:rFonts w:ascii="RobotoStatic" w:cs="Zawgyi-One" w:hAnsi="Source Sans Pro"/>
                <w:sz w:val="18"/>
                <w:szCs w:val="18"/>
              </w:rPr>
              <w:t>09-Jun-2027</w:t>
            </w:r>
          </w:p>
        </w:tc>
      </w:tr>
    </w:tbl>
    <w:p w14:paraId="3BE1574F">
      <w:pPr>
        <w:pStyle w:val="style2"/>
        <w:spacing w:before="280" w:after="140" w:lineRule="auto" w:line="420"/>
        <w:rPr>
          <w:rFonts w:ascii="RobotoStatic" w:cs="Zawgyi-One" w:hAnsi="Source Sans Pro"/>
          <w:color w:val="auto"/>
        </w:rPr>
      </w:pPr>
      <w:r>
        <w:rPr>
          <w:rFonts w:ascii="RobotoStatic" w:cs="Zawgyi-One" w:hAnsi="Source Sans Pro"/>
          <w:b/>
          <w:bCs/>
          <w:color w:val="auto"/>
          <w:sz w:val="24"/>
          <w:szCs w:val="24"/>
        </w:rPr>
        <w:t>3.8 12-Month Governance Calendar</w:t>
      </w:r>
    </w:p>
    <w:tbl>
      <w:tblPr>
        <w:tblW w:w="9360" w:type="dxa"/>
        <w:tblInd w:w="-15" w:type="dxa"/>
        <w:tblBorders>
          <w:top w:val="single" w:sz="4" w:space="0" w:color="b9c4ce"/>
          <w:left w:val="single" w:sz="4" w:space="0" w:color="b9c4ce"/>
          <w:bottom w:val="single" w:sz="4" w:space="0" w:color="b9c4ce"/>
          <w:right w:val="single" w:sz="4" w:space="0" w:color="b9c4ce"/>
          <w:insideH w:val="single" w:sz="4" w:space="0" w:color="b9c4ce"/>
          <w:insideV w:val="single" w:sz="4" w:space="0" w:color="b9c4ce"/>
        </w:tblBorders>
        <w:tblCellMar>
          <w:top w:w="0" w:type="dxa"/>
          <w:bottom w:w="0" w:type="dxa"/>
        </w:tblCellMar>
        <w:tblLook w:val="04A0" w:firstRow="1" w:lastRow="0" w:firstColumn="1" w:lastColumn="0" w:noHBand="0" w:noVBand="1"/>
      </w:tblPr>
      <w:tblGrid>
        <w:gridCol w:w="1400"/>
        <w:gridCol w:w="4600"/>
        <w:gridCol w:w="3360"/>
      </w:tblGrid>
      <w:tr w14:paraId="4B6AAD3D">
        <w:trPr>
          <w:tblHeader/>
        </w:trPr>
        <w:tc>
          <w:tcPr>
            <w:tcW w:w="1400" w:type="dxa"/>
            <w:tcBorders/>
            <w:shd w:val="clear" w:color="auto" w:fill="auto"/>
            <w:tcMar>
              <w:top w:w="80" w:type="dxa"/>
              <w:left w:w="100" w:type="dxa"/>
              <w:bottom w:w="80" w:type="dxa"/>
              <w:right w:w="100" w:type="dxa"/>
            </w:tcMar>
            <w:vAlign w:val="center"/>
          </w:tcPr>
          <w:p w14:paraId="B2D654CC">
            <w:pPr>
              <w:pStyle w:val="style0"/>
              <w:spacing w:lineRule="auto" w:line="420"/>
              <w:jc w:val="center"/>
              <w:rPr>
                <w:rFonts w:ascii="RobotoStatic" w:cs="Zawgyi-One" w:hAnsi="Source Sans Pro"/>
              </w:rPr>
            </w:pPr>
            <w:r>
              <w:rPr>
                <w:rFonts w:ascii="RobotoStatic" w:cs="Zawgyi-One" w:hAnsi="Source Sans Pro"/>
                <w:b/>
                <w:bCs/>
                <w:sz w:val="18"/>
                <w:szCs w:val="18"/>
              </w:rPr>
              <w:t>Month</w:t>
            </w:r>
          </w:p>
        </w:tc>
        <w:tc>
          <w:tcPr>
            <w:tcW w:w="4600" w:type="dxa"/>
            <w:tcBorders/>
            <w:shd w:val="clear" w:color="auto" w:fill="auto"/>
            <w:tcMar>
              <w:top w:w="80" w:type="dxa"/>
              <w:left w:w="100" w:type="dxa"/>
              <w:bottom w:w="80" w:type="dxa"/>
              <w:right w:w="100" w:type="dxa"/>
            </w:tcMar>
            <w:vAlign w:val="center"/>
          </w:tcPr>
          <w:p w14:paraId="B6223810">
            <w:pPr>
              <w:pStyle w:val="style0"/>
              <w:spacing w:lineRule="auto" w:line="420"/>
              <w:jc w:val="center"/>
              <w:rPr>
                <w:rFonts w:ascii="RobotoStatic" w:cs="Zawgyi-One" w:hAnsi="Source Sans Pro"/>
              </w:rPr>
            </w:pPr>
            <w:r>
              <w:rPr>
                <w:rFonts w:ascii="RobotoStatic" w:cs="Zawgyi-One" w:hAnsi="Source Sans Pro"/>
                <w:b/>
                <w:bCs/>
                <w:sz w:val="18"/>
                <w:szCs w:val="18"/>
              </w:rPr>
              <w:t>Recurring Governance Activity</w:t>
            </w:r>
          </w:p>
        </w:tc>
        <w:tc>
          <w:tcPr>
            <w:tcW w:w="3360" w:type="dxa"/>
            <w:tcBorders/>
            <w:shd w:val="clear" w:color="auto" w:fill="auto"/>
            <w:tcMar>
              <w:top w:w="80" w:type="dxa"/>
              <w:left w:w="100" w:type="dxa"/>
              <w:bottom w:w="80" w:type="dxa"/>
              <w:right w:w="100" w:type="dxa"/>
            </w:tcMar>
            <w:vAlign w:val="center"/>
          </w:tcPr>
          <w:p w14:paraId="EEBD569B">
            <w:pPr>
              <w:pStyle w:val="style0"/>
              <w:spacing w:lineRule="auto" w:line="420"/>
              <w:jc w:val="center"/>
              <w:rPr>
                <w:rFonts w:ascii="RobotoStatic" w:cs="Zawgyi-One" w:hAnsi="Source Sans Pro"/>
              </w:rPr>
            </w:pPr>
            <w:r>
              <w:rPr>
                <w:rFonts w:ascii="RobotoStatic" w:cs="Zawgyi-One" w:hAnsi="Source Sans Pro"/>
                <w:b/>
                <w:bCs/>
                <w:sz w:val="18"/>
                <w:szCs w:val="18"/>
              </w:rPr>
              <w:t>Milestone</w:t>
            </w:r>
          </w:p>
        </w:tc>
      </w:tr>
      <w:tr w14:paraId="439D5586">
        <w:tblPrEx/>
        <w:trPr/>
        <w:tc>
          <w:tcPr>
            <w:tcW w:w="1400" w:type="dxa"/>
            <w:tcBorders/>
            <w:shd w:val="clear" w:color="auto" w:fill="auto"/>
            <w:tcMar>
              <w:top w:w="80" w:type="dxa"/>
              <w:left w:w="100" w:type="dxa"/>
              <w:bottom w:w="80" w:type="dxa"/>
              <w:right w:w="100" w:type="dxa"/>
            </w:tcMar>
            <w:vAlign w:val="center"/>
          </w:tcPr>
          <w:p w14:paraId="9F843A36">
            <w:pPr>
              <w:pStyle w:val="style0"/>
              <w:spacing w:lineRule="auto" w:line="420"/>
              <w:rPr>
                <w:rFonts w:ascii="RobotoStatic" w:cs="Zawgyi-One" w:hAnsi="Source Sans Pro"/>
              </w:rPr>
            </w:pPr>
            <w:r>
              <w:rPr>
                <w:rFonts w:ascii="RobotoStatic" w:cs="Zawgyi-One" w:hAnsi="Source Sans Pro"/>
                <w:sz w:val="18"/>
                <w:szCs w:val="18"/>
              </w:rPr>
              <w:t>January</w:t>
            </w:r>
          </w:p>
        </w:tc>
        <w:tc>
          <w:tcPr>
            <w:tcW w:w="4600" w:type="dxa"/>
            <w:tcBorders/>
            <w:shd w:val="clear" w:color="auto" w:fill="auto"/>
            <w:tcMar>
              <w:top w:w="80" w:type="dxa"/>
              <w:left w:w="100" w:type="dxa"/>
              <w:bottom w:w="80" w:type="dxa"/>
              <w:right w:w="100" w:type="dxa"/>
            </w:tcMar>
            <w:vAlign w:val="center"/>
          </w:tcPr>
          <w:p w14:paraId="CE12B26E">
            <w:pPr>
              <w:pStyle w:val="style0"/>
              <w:spacing w:lineRule="auto" w:line="420"/>
              <w:rPr>
                <w:rFonts w:ascii="RobotoStatic" w:cs="Zawgyi-One" w:hAnsi="Source Sans Pro"/>
              </w:rPr>
            </w:pPr>
            <w:r>
              <w:rPr>
                <w:rFonts w:ascii="RobotoStatic" w:cs="Zawgyi-One" w:hAnsi="Source Sans Pro"/>
                <w:sz w:val="18"/>
                <w:szCs w:val="18"/>
              </w:rPr>
              <w:t>Steering Committee (monthly); Incident Response WG</w:t>
            </w:r>
          </w:p>
        </w:tc>
        <w:tc>
          <w:tcPr>
            <w:tcW w:w="3360" w:type="dxa"/>
            <w:tcBorders/>
            <w:shd w:val="clear" w:color="auto" w:fill="auto"/>
            <w:tcMar>
              <w:top w:w="80" w:type="dxa"/>
              <w:left w:w="100" w:type="dxa"/>
              <w:bottom w:w="80" w:type="dxa"/>
              <w:right w:w="100" w:type="dxa"/>
            </w:tcMar>
            <w:vAlign w:val="center"/>
          </w:tcPr>
          <w:p w14:paraId="190F72F6">
            <w:pPr>
              <w:pStyle w:val="style0"/>
              <w:spacing w:lineRule="auto" w:line="420"/>
              <w:rPr>
                <w:rFonts w:ascii="RobotoStatic" w:cs="Zawgyi-One" w:hAnsi="Source Sans Pro"/>
              </w:rPr>
            </w:pPr>
            <w:r>
              <w:rPr>
                <w:rFonts w:ascii="RobotoStatic" w:cs="Zawgyi-One" w:hAnsi="Source Sans Pro"/>
                <w:sz w:val="18"/>
                <w:szCs w:val="18"/>
              </w:rPr>
              <w:t>Annual security policy review cycle opens</w:t>
            </w:r>
          </w:p>
        </w:tc>
      </w:tr>
      <w:tr w14:paraId="5634A01B">
        <w:tblPrEx/>
        <w:trPr/>
        <w:tc>
          <w:tcPr>
            <w:tcW w:w="1400" w:type="dxa"/>
            <w:tcBorders/>
            <w:shd w:val="clear" w:color="auto" w:fill="auto"/>
            <w:tcMar>
              <w:top w:w="80" w:type="dxa"/>
              <w:left w:w="100" w:type="dxa"/>
              <w:bottom w:w="80" w:type="dxa"/>
              <w:right w:w="100" w:type="dxa"/>
            </w:tcMar>
            <w:vAlign w:val="center"/>
          </w:tcPr>
          <w:p w14:paraId="9F9A5D92">
            <w:pPr>
              <w:pStyle w:val="style0"/>
              <w:spacing w:lineRule="auto" w:line="420"/>
              <w:rPr>
                <w:rFonts w:ascii="RobotoStatic" w:cs="Zawgyi-One" w:hAnsi="Source Sans Pro"/>
              </w:rPr>
            </w:pPr>
            <w:r>
              <w:rPr>
                <w:rFonts w:ascii="RobotoStatic" w:cs="Zawgyi-One" w:hAnsi="Source Sans Pro"/>
                <w:sz w:val="18"/>
                <w:szCs w:val="18"/>
              </w:rPr>
              <w:t>February</w:t>
            </w:r>
          </w:p>
        </w:tc>
        <w:tc>
          <w:tcPr>
            <w:tcW w:w="4600" w:type="dxa"/>
            <w:tcBorders/>
            <w:shd w:val="clear" w:color="auto" w:fill="auto"/>
            <w:tcMar>
              <w:top w:w="80" w:type="dxa"/>
              <w:left w:w="100" w:type="dxa"/>
              <w:bottom w:w="80" w:type="dxa"/>
              <w:right w:w="100" w:type="dxa"/>
            </w:tcMar>
            <w:vAlign w:val="center"/>
          </w:tcPr>
          <w:p w14:paraId="F4BEAB73">
            <w:pPr>
              <w:pStyle w:val="style0"/>
              <w:spacing w:lineRule="auto" w:line="420"/>
              <w:rPr>
                <w:rFonts w:ascii="RobotoStatic" w:cs="Zawgyi-One" w:hAnsi="Source Sans Pro"/>
              </w:rPr>
            </w:pPr>
            <w:r>
              <w:rPr>
                <w:rFonts w:ascii="RobotoStatic" w:cs="Zawgyi-One" w:hAnsi="Source Sans Pro"/>
                <w:sz w:val="18"/>
                <w:szCs w:val="18"/>
              </w:rPr>
              <w:t>Steering Committee; Cloud Security WG</w:t>
            </w:r>
          </w:p>
        </w:tc>
        <w:tc>
          <w:tcPr>
            <w:tcW w:w="3360" w:type="dxa"/>
            <w:tcBorders/>
            <w:shd w:val="clear" w:color="auto" w:fill="auto"/>
            <w:tcMar>
              <w:top w:w="80" w:type="dxa"/>
              <w:left w:w="100" w:type="dxa"/>
              <w:bottom w:w="80" w:type="dxa"/>
              <w:right w:w="100" w:type="dxa"/>
            </w:tcMar>
            <w:vAlign w:val="center"/>
          </w:tcPr>
          <w:p w14:paraId="2CA8FA7C">
            <w:pPr>
              <w:pStyle w:val="style0"/>
              <w:spacing w:lineRule="auto" w:line="420"/>
              <w:rPr>
                <w:rFonts w:ascii="RobotoStatic" w:cs="Zawgyi-One" w:hAnsi="Source Sans Pro"/>
              </w:rPr>
            </w:pPr>
            <w:r>
              <w:rPr>
                <w:rFonts w:ascii="RobotoStatic" w:cs="Zawgyi-One" w:hAnsi="Source Sans Pro"/>
                <w:sz w:val="18"/>
                <w:szCs w:val="18"/>
              </w:rPr>
              <w:t>Third-party risk register annual refresh begins</w:t>
            </w:r>
          </w:p>
        </w:tc>
      </w:tr>
      <w:tr w14:paraId="AFF9EA4D">
        <w:tblPrEx/>
        <w:trPr/>
        <w:tc>
          <w:tcPr>
            <w:tcW w:w="1400" w:type="dxa"/>
            <w:tcBorders/>
            <w:shd w:val="clear" w:color="auto" w:fill="auto"/>
            <w:tcMar>
              <w:top w:w="80" w:type="dxa"/>
              <w:left w:w="100" w:type="dxa"/>
              <w:bottom w:w="80" w:type="dxa"/>
              <w:right w:w="100" w:type="dxa"/>
            </w:tcMar>
            <w:vAlign w:val="center"/>
          </w:tcPr>
          <w:p w14:paraId="735AB6A4">
            <w:pPr>
              <w:pStyle w:val="style0"/>
              <w:spacing w:lineRule="auto" w:line="420"/>
              <w:rPr>
                <w:rFonts w:ascii="RobotoStatic" w:cs="Zawgyi-One" w:hAnsi="Source Sans Pro"/>
              </w:rPr>
            </w:pPr>
            <w:r>
              <w:rPr>
                <w:rFonts w:ascii="RobotoStatic" w:cs="Zawgyi-One" w:hAnsi="Source Sans Pro"/>
                <w:sz w:val="18"/>
                <w:szCs w:val="18"/>
              </w:rPr>
              <w:t>March</w:t>
            </w:r>
          </w:p>
        </w:tc>
        <w:tc>
          <w:tcPr>
            <w:tcW w:w="4600" w:type="dxa"/>
            <w:tcBorders/>
            <w:shd w:val="clear" w:color="auto" w:fill="auto"/>
            <w:tcMar>
              <w:top w:w="80" w:type="dxa"/>
              <w:left w:w="100" w:type="dxa"/>
              <w:bottom w:w="80" w:type="dxa"/>
              <w:right w:w="100" w:type="dxa"/>
            </w:tcMar>
            <w:vAlign w:val="center"/>
          </w:tcPr>
          <w:p w14:paraId="0FB57AC1">
            <w:pPr>
              <w:pStyle w:val="style0"/>
              <w:spacing w:lineRule="auto" w:line="420"/>
              <w:rPr>
                <w:rFonts w:ascii="RobotoStatic" w:cs="Zawgyi-One" w:hAnsi="Source Sans Pro"/>
              </w:rPr>
            </w:pPr>
            <w:r>
              <w:rPr>
                <w:rFonts w:ascii="RobotoStatic" w:cs="Zawgyi-One" w:hAnsi="Source Sans Pro"/>
                <w:sz w:val="18"/>
                <w:szCs w:val="18"/>
              </w:rPr>
              <w:t>Steering Committee; Third-Party Risk WG</w:t>
            </w:r>
          </w:p>
        </w:tc>
        <w:tc>
          <w:tcPr>
            <w:tcW w:w="3360" w:type="dxa"/>
            <w:tcBorders/>
            <w:shd w:val="clear" w:color="auto" w:fill="auto"/>
            <w:tcMar>
              <w:top w:w="80" w:type="dxa"/>
              <w:left w:w="100" w:type="dxa"/>
              <w:bottom w:w="80" w:type="dxa"/>
              <w:right w:w="100" w:type="dxa"/>
            </w:tcMar>
            <w:vAlign w:val="center"/>
          </w:tcPr>
          <w:p w14:paraId="45AE6F4C">
            <w:pPr>
              <w:pStyle w:val="style0"/>
              <w:spacing w:lineRule="auto" w:line="420"/>
              <w:rPr>
                <w:rFonts w:ascii="RobotoStatic" w:cs="Zawgyi-One" w:hAnsi="Source Sans Pro"/>
              </w:rPr>
            </w:pPr>
            <w:r>
              <w:rPr>
                <w:rFonts w:ascii="RobotoStatic" w:cs="Zawgyi-One" w:hAnsi="Source Sans Pro"/>
                <w:sz w:val="18"/>
                <w:szCs w:val="18"/>
              </w:rPr>
              <w:t>Q1 Executive Security Council meeting; Board Risk &amp; Audit Committee report</w:t>
            </w:r>
          </w:p>
        </w:tc>
      </w:tr>
      <w:tr w14:paraId="1AF62FF1">
        <w:tblPrEx/>
        <w:trPr/>
        <w:tc>
          <w:tcPr>
            <w:tcW w:w="1400" w:type="dxa"/>
            <w:tcBorders/>
            <w:shd w:val="clear" w:color="auto" w:fill="auto"/>
            <w:tcMar>
              <w:top w:w="80" w:type="dxa"/>
              <w:left w:w="100" w:type="dxa"/>
              <w:bottom w:w="80" w:type="dxa"/>
              <w:right w:w="100" w:type="dxa"/>
            </w:tcMar>
            <w:vAlign w:val="center"/>
          </w:tcPr>
          <w:p w14:paraId="531DD042">
            <w:pPr>
              <w:pStyle w:val="style0"/>
              <w:spacing w:lineRule="auto" w:line="420"/>
              <w:rPr>
                <w:rFonts w:ascii="RobotoStatic" w:cs="Zawgyi-One" w:hAnsi="Source Sans Pro"/>
              </w:rPr>
            </w:pPr>
            <w:r>
              <w:rPr>
                <w:rFonts w:ascii="RobotoStatic" w:cs="Zawgyi-One" w:hAnsi="Source Sans Pro"/>
                <w:sz w:val="18"/>
                <w:szCs w:val="18"/>
              </w:rPr>
              <w:t>April</w:t>
            </w:r>
          </w:p>
        </w:tc>
        <w:tc>
          <w:tcPr>
            <w:tcW w:w="4600" w:type="dxa"/>
            <w:tcBorders/>
            <w:shd w:val="clear" w:color="auto" w:fill="auto"/>
            <w:tcMar>
              <w:top w:w="80" w:type="dxa"/>
              <w:left w:w="100" w:type="dxa"/>
              <w:bottom w:w="80" w:type="dxa"/>
              <w:right w:w="100" w:type="dxa"/>
            </w:tcMar>
            <w:vAlign w:val="center"/>
          </w:tcPr>
          <w:p w14:paraId="545858C8">
            <w:pPr>
              <w:pStyle w:val="style0"/>
              <w:spacing w:lineRule="auto" w:line="420"/>
              <w:rPr>
                <w:rFonts w:ascii="RobotoStatic" w:cs="Zawgyi-One" w:hAnsi="Source Sans Pro"/>
              </w:rPr>
            </w:pPr>
            <w:r>
              <w:rPr>
                <w:rFonts w:ascii="RobotoStatic" w:cs="Zawgyi-One" w:hAnsi="Source Sans Pro"/>
                <w:sz w:val="18"/>
                <w:szCs w:val="18"/>
              </w:rPr>
              <w:t>Steering Committee; Incident Response WG</w:t>
            </w:r>
          </w:p>
        </w:tc>
        <w:tc>
          <w:tcPr>
            <w:tcW w:w="3360" w:type="dxa"/>
            <w:tcBorders/>
            <w:shd w:val="clear" w:color="auto" w:fill="auto"/>
            <w:tcMar>
              <w:top w:w="80" w:type="dxa"/>
              <w:left w:w="100" w:type="dxa"/>
              <w:bottom w:w="80" w:type="dxa"/>
              <w:right w:w="100" w:type="dxa"/>
            </w:tcMar>
            <w:vAlign w:val="center"/>
          </w:tcPr>
          <w:p w14:paraId="D06DC968">
            <w:pPr>
              <w:pStyle w:val="style0"/>
              <w:spacing w:lineRule="auto" w:line="420"/>
              <w:rPr>
                <w:rFonts w:ascii="RobotoStatic" w:cs="Zawgyi-One" w:hAnsi="Source Sans Pro"/>
              </w:rPr>
            </w:pPr>
            <w:r>
              <w:rPr>
                <w:rFonts w:ascii="RobotoStatic" w:cs="Zawgyi-One" w:hAnsi="Source Sans Pro"/>
                <w:sz w:val="18"/>
                <w:szCs w:val="18"/>
              </w:rPr>
              <w:t>Annual penetration test scheduled</w:t>
            </w:r>
          </w:p>
        </w:tc>
      </w:tr>
      <w:tr w14:paraId="32A0E622">
        <w:tblPrEx/>
        <w:trPr/>
        <w:tc>
          <w:tcPr>
            <w:tcW w:w="1400" w:type="dxa"/>
            <w:tcBorders/>
            <w:shd w:val="clear" w:color="auto" w:fill="auto"/>
            <w:tcMar>
              <w:top w:w="80" w:type="dxa"/>
              <w:left w:w="100" w:type="dxa"/>
              <w:bottom w:w="80" w:type="dxa"/>
              <w:right w:w="100" w:type="dxa"/>
            </w:tcMar>
            <w:vAlign w:val="center"/>
          </w:tcPr>
          <w:p w14:paraId="674D25D6">
            <w:pPr>
              <w:pStyle w:val="style0"/>
              <w:spacing w:lineRule="auto" w:line="420"/>
              <w:rPr>
                <w:rFonts w:ascii="RobotoStatic" w:cs="Zawgyi-One" w:hAnsi="Source Sans Pro"/>
              </w:rPr>
            </w:pPr>
            <w:r>
              <w:rPr>
                <w:rFonts w:ascii="RobotoStatic" w:cs="Zawgyi-One" w:hAnsi="Source Sans Pro"/>
                <w:sz w:val="18"/>
                <w:szCs w:val="18"/>
              </w:rPr>
              <w:t>May</w:t>
            </w:r>
          </w:p>
        </w:tc>
        <w:tc>
          <w:tcPr>
            <w:tcW w:w="4600" w:type="dxa"/>
            <w:tcBorders/>
            <w:shd w:val="clear" w:color="auto" w:fill="auto"/>
            <w:tcMar>
              <w:top w:w="80" w:type="dxa"/>
              <w:left w:w="100" w:type="dxa"/>
              <w:bottom w:w="80" w:type="dxa"/>
              <w:right w:w="100" w:type="dxa"/>
            </w:tcMar>
            <w:vAlign w:val="center"/>
          </w:tcPr>
          <w:p w14:paraId="137E7C00">
            <w:pPr>
              <w:pStyle w:val="style0"/>
              <w:spacing w:lineRule="auto" w:line="420"/>
              <w:rPr>
                <w:rFonts w:ascii="RobotoStatic" w:cs="Zawgyi-One" w:hAnsi="Source Sans Pro"/>
              </w:rPr>
            </w:pPr>
            <w:r>
              <w:rPr>
                <w:rFonts w:ascii="RobotoStatic" w:cs="Zawgyi-One" w:hAnsi="Source Sans Pro"/>
                <w:sz w:val="18"/>
                <w:szCs w:val="18"/>
              </w:rPr>
              <w:t>Steering Committee; Cloud Security WG</w:t>
            </w:r>
          </w:p>
        </w:tc>
        <w:tc>
          <w:tcPr>
            <w:tcW w:w="3360" w:type="dxa"/>
            <w:tcBorders/>
            <w:shd w:val="clear" w:color="auto" w:fill="auto"/>
            <w:tcMar>
              <w:top w:w="80" w:type="dxa"/>
              <w:left w:w="100" w:type="dxa"/>
              <w:bottom w:w="80" w:type="dxa"/>
              <w:right w:w="100" w:type="dxa"/>
            </w:tcMar>
            <w:vAlign w:val="center"/>
          </w:tcPr>
          <w:p w14:paraId="24D2C354">
            <w:pPr>
              <w:pStyle w:val="style0"/>
              <w:spacing w:lineRule="auto" w:line="420"/>
              <w:rPr>
                <w:rFonts w:ascii="RobotoStatic" w:cs="Zawgyi-One" w:hAnsi="Source Sans Pro"/>
              </w:rPr>
            </w:pPr>
            <w:r>
              <w:rPr>
                <w:rFonts w:ascii="RobotoStatic" w:cs="Zawgyi-One" w:hAnsi="Source Sans Pro"/>
                <w:sz w:val="18"/>
                <w:szCs w:val="18"/>
              </w:rPr>
              <w:t>Security awareness campaign (H1) launch</w:t>
            </w:r>
          </w:p>
        </w:tc>
      </w:tr>
      <w:tr w14:paraId="2B4935E4">
        <w:tblPrEx/>
        <w:trPr/>
        <w:tc>
          <w:tcPr>
            <w:tcW w:w="1400" w:type="dxa"/>
            <w:tcBorders/>
            <w:shd w:val="clear" w:color="auto" w:fill="auto"/>
            <w:tcMar>
              <w:top w:w="80" w:type="dxa"/>
              <w:left w:w="100" w:type="dxa"/>
              <w:bottom w:w="80" w:type="dxa"/>
              <w:right w:w="100" w:type="dxa"/>
            </w:tcMar>
            <w:vAlign w:val="center"/>
          </w:tcPr>
          <w:p w14:paraId="41D8DEE7">
            <w:pPr>
              <w:pStyle w:val="style0"/>
              <w:spacing w:lineRule="auto" w:line="420"/>
              <w:rPr>
                <w:rFonts w:ascii="RobotoStatic" w:cs="Zawgyi-One" w:hAnsi="Source Sans Pro"/>
              </w:rPr>
            </w:pPr>
            <w:r>
              <w:rPr>
                <w:rFonts w:ascii="RobotoStatic" w:cs="Zawgyi-One" w:hAnsi="Source Sans Pro"/>
                <w:sz w:val="18"/>
                <w:szCs w:val="18"/>
              </w:rPr>
              <w:t>June</w:t>
            </w:r>
          </w:p>
        </w:tc>
        <w:tc>
          <w:tcPr>
            <w:tcW w:w="4600" w:type="dxa"/>
            <w:tcBorders/>
            <w:shd w:val="clear" w:color="auto" w:fill="auto"/>
            <w:tcMar>
              <w:top w:w="80" w:type="dxa"/>
              <w:left w:w="100" w:type="dxa"/>
              <w:bottom w:w="80" w:type="dxa"/>
              <w:right w:w="100" w:type="dxa"/>
            </w:tcMar>
            <w:vAlign w:val="center"/>
          </w:tcPr>
          <w:p w14:paraId="AD1F4BC0">
            <w:pPr>
              <w:pStyle w:val="style0"/>
              <w:spacing w:lineRule="auto" w:line="420"/>
              <w:rPr>
                <w:rFonts w:ascii="RobotoStatic" w:cs="Zawgyi-One" w:hAnsi="Source Sans Pro"/>
              </w:rPr>
            </w:pPr>
            <w:r>
              <w:rPr>
                <w:rFonts w:ascii="RobotoStatic" w:cs="Zawgyi-One" w:hAnsi="Source Sans Pro"/>
                <w:sz w:val="18"/>
                <w:szCs w:val="18"/>
              </w:rPr>
              <w:t>Steering Committee; Q2 Executive Security Council meeting</w:t>
            </w:r>
          </w:p>
        </w:tc>
        <w:tc>
          <w:tcPr>
            <w:tcW w:w="3360" w:type="dxa"/>
            <w:tcBorders/>
            <w:shd w:val="clear" w:color="auto" w:fill="auto"/>
            <w:tcMar>
              <w:top w:w="80" w:type="dxa"/>
              <w:left w:w="100" w:type="dxa"/>
              <w:bottom w:w="80" w:type="dxa"/>
              <w:right w:w="100" w:type="dxa"/>
            </w:tcMar>
            <w:vAlign w:val="center"/>
          </w:tcPr>
          <w:p w14:paraId="9F86CF56">
            <w:pPr>
              <w:pStyle w:val="style0"/>
              <w:spacing w:lineRule="auto" w:line="420"/>
              <w:rPr>
                <w:rFonts w:ascii="RobotoStatic" w:cs="Zawgyi-One" w:hAnsi="Source Sans Pro"/>
              </w:rPr>
            </w:pPr>
            <w:r>
              <w:rPr>
                <w:rFonts w:ascii="RobotoStatic" w:cs="Zawgyi-One" w:hAnsi="Source Sans Pro"/>
                <w:sz w:val="18"/>
                <w:szCs w:val="18"/>
              </w:rPr>
              <w:t>Q2 Board Risk &amp; Audit Committee report; BCP/DR test</w:t>
            </w:r>
          </w:p>
        </w:tc>
      </w:tr>
      <w:tr w14:paraId="5BED05FE">
        <w:tblPrEx/>
        <w:trPr/>
        <w:tc>
          <w:tcPr>
            <w:tcW w:w="1400" w:type="dxa"/>
            <w:tcBorders/>
            <w:shd w:val="clear" w:color="auto" w:fill="auto"/>
            <w:tcMar>
              <w:top w:w="80" w:type="dxa"/>
              <w:left w:w="100" w:type="dxa"/>
              <w:bottom w:w="80" w:type="dxa"/>
              <w:right w:w="100" w:type="dxa"/>
            </w:tcMar>
            <w:vAlign w:val="center"/>
          </w:tcPr>
          <w:p w14:paraId="BD0583E6">
            <w:pPr>
              <w:pStyle w:val="style0"/>
              <w:spacing w:lineRule="auto" w:line="420"/>
              <w:rPr>
                <w:rFonts w:ascii="RobotoStatic" w:cs="Zawgyi-One" w:hAnsi="Source Sans Pro"/>
              </w:rPr>
            </w:pPr>
            <w:r>
              <w:rPr>
                <w:rFonts w:ascii="RobotoStatic" w:cs="Zawgyi-One" w:hAnsi="Source Sans Pro"/>
                <w:sz w:val="18"/>
                <w:szCs w:val="18"/>
              </w:rPr>
              <w:t>July</w:t>
            </w:r>
          </w:p>
        </w:tc>
        <w:tc>
          <w:tcPr>
            <w:tcW w:w="4600" w:type="dxa"/>
            <w:tcBorders/>
            <w:shd w:val="clear" w:color="auto" w:fill="auto"/>
            <w:tcMar>
              <w:top w:w="80" w:type="dxa"/>
              <w:left w:w="100" w:type="dxa"/>
              <w:bottom w:w="80" w:type="dxa"/>
              <w:right w:w="100" w:type="dxa"/>
            </w:tcMar>
            <w:vAlign w:val="center"/>
          </w:tcPr>
          <w:p w14:paraId="F13F7007">
            <w:pPr>
              <w:pStyle w:val="style0"/>
              <w:spacing w:lineRule="auto" w:line="420"/>
              <w:rPr>
                <w:rFonts w:ascii="RobotoStatic" w:cs="Zawgyi-One" w:hAnsi="Source Sans Pro"/>
              </w:rPr>
            </w:pPr>
            <w:r>
              <w:rPr>
                <w:rFonts w:ascii="RobotoStatic" w:cs="Zawgyi-One" w:hAnsi="Source Sans Pro"/>
                <w:sz w:val="18"/>
                <w:szCs w:val="18"/>
              </w:rPr>
              <w:t>Steering Committee; Incident Response WG</w:t>
            </w:r>
          </w:p>
        </w:tc>
        <w:tc>
          <w:tcPr>
            <w:tcW w:w="3360" w:type="dxa"/>
            <w:tcBorders/>
            <w:shd w:val="clear" w:color="auto" w:fill="auto"/>
            <w:tcMar>
              <w:top w:w="80" w:type="dxa"/>
              <w:left w:w="100" w:type="dxa"/>
              <w:bottom w:w="80" w:type="dxa"/>
              <w:right w:w="100" w:type="dxa"/>
            </w:tcMar>
            <w:vAlign w:val="center"/>
          </w:tcPr>
          <w:p w14:paraId="51140AF3">
            <w:pPr>
              <w:pStyle w:val="style0"/>
              <w:spacing w:lineRule="auto" w:line="420"/>
              <w:rPr>
                <w:rFonts w:ascii="RobotoStatic" w:cs="Zawgyi-One" w:hAnsi="Source Sans Pro"/>
              </w:rPr>
            </w:pPr>
            <w:r>
              <w:rPr>
                <w:rFonts w:ascii="RobotoStatic" w:cs="Zawgyi-One" w:hAnsi="Source Sans Pro"/>
                <w:sz w:val="18"/>
                <w:szCs w:val="18"/>
              </w:rPr>
              <w:t>Mid-year risk appetite review</w:t>
            </w:r>
          </w:p>
        </w:tc>
      </w:tr>
      <w:tr w14:paraId="C54A7F18">
        <w:tblPrEx/>
        <w:trPr/>
        <w:tc>
          <w:tcPr>
            <w:tcW w:w="1400" w:type="dxa"/>
            <w:tcBorders/>
            <w:shd w:val="clear" w:color="auto" w:fill="auto"/>
            <w:tcMar>
              <w:top w:w="80" w:type="dxa"/>
              <w:left w:w="100" w:type="dxa"/>
              <w:bottom w:w="80" w:type="dxa"/>
              <w:right w:w="100" w:type="dxa"/>
            </w:tcMar>
            <w:vAlign w:val="center"/>
          </w:tcPr>
          <w:p w14:paraId="7DBF4EE8">
            <w:pPr>
              <w:pStyle w:val="style0"/>
              <w:spacing w:lineRule="auto" w:line="420"/>
              <w:rPr>
                <w:rFonts w:ascii="RobotoStatic" w:cs="Zawgyi-One" w:hAnsi="Source Sans Pro"/>
              </w:rPr>
            </w:pPr>
            <w:r>
              <w:rPr>
                <w:rFonts w:ascii="RobotoStatic" w:cs="Zawgyi-One" w:hAnsi="Source Sans Pro"/>
                <w:sz w:val="18"/>
                <w:szCs w:val="18"/>
              </w:rPr>
              <w:t>August</w:t>
            </w:r>
          </w:p>
        </w:tc>
        <w:tc>
          <w:tcPr>
            <w:tcW w:w="4600" w:type="dxa"/>
            <w:tcBorders/>
            <w:shd w:val="clear" w:color="auto" w:fill="auto"/>
            <w:tcMar>
              <w:top w:w="80" w:type="dxa"/>
              <w:left w:w="100" w:type="dxa"/>
              <w:bottom w:w="80" w:type="dxa"/>
              <w:right w:w="100" w:type="dxa"/>
            </w:tcMar>
            <w:vAlign w:val="center"/>
          </w:tcPr>
          <w:p w14:paraId="4F9C5BCF">
            <w:pPr>
              <w:pStyle w:val="style0"/>
              <w:spacing w:lineRule="auto" w:line="420"/>
              <w:rPr>
                <w:rFonts w:ascii="RobotoStatic" w:cs="Zawgyi-One" w:hAnsi="Source Sans Pro"/>
              </w:rPr>
            </w:pPr>
            <w:r>
              <w:rPr>
                <w:rFonts w:ascii="RobotoStatic" w:cs="Zawgyi-One" w:hAnsi="Source Sans Pro"/>
                <w:sz w:val="18"/>
                <w:szCs w:val="18"/>
              </w:rPr>
              <w:t>Steering Committee; Third-Party Risk WG</w:t>
            </w:r>
          </w:p>
        </w:tc>
        <w:tc>
          <w:tcPr>
            <w:tcW w:w="3360" w:type="dxa"/>
            <w:tcBorders/>
            <w:shd w:val="clear" w:color="auto" w:fill="auto"/>
            <w:tcMar>
              <w:top w:w="80" w:type="dxa"/>
              <w:left w:w="100" w:type="dxa"/>
              <w:bottom w:w="80" w:type="dxa"/>
              <w:right w:w="100" w:type="dxa"/>
            </w:tcMar>
            <w:vAlign w:val="center"/>
          </w:tcPr>
          <w:p w14:paraId="917A5782">
            <w:pPr>
              <w:pStyle w:val="style0"/>
              <w:spacing w:lineRule="auto" w:line="420"/>
              <w:rPr>
                <w:rFonts w:ascii="RobotoStatic" w:cs="Zawgyi-One" w:hAnsi="Source Sans Pro"/>
              </w:rPr>
            </w:pPr>
            <w:r>
              <w:rPr>
                <w:rFonts w:ascii="RobotoStatic" w:cs="Zawgyi-One" w:hAnsi="Source Sans Pro"/>
                <w:sz w:val="18"/>
                <w:szCs w:val="18"/>
              </w:rPr>
              <w:t>Vendor security recertification cycle</w:t>
            </w:r>
          </w:p>
        </w:tc>
      </w:tr>
      <w:tr w14:paraId="95AF41B3">
        <w:tblPrEx/>
        <w:trPr/>
        <w:tc>
          <w:tcPr>
            <w:tcW w:w="1400" w:type="dxa"/>
            <w:tcBorders/>
            <w:shd w:val="clear" w:color="auto" w:fill="auto"/>
            <w:tcMar>
              <w:top w:w="80" w:type="dxa"/>
              <w:left w:w="100" w:type="dxa"/>
              <w:bottom w:w="80" w:type="dxa"/>
              <w:right w:w="100" w:type="dxa"/>
            </w:tcMar>
            <w:vAlign w:val="center"/>
          </w:tcPr>
          <w:p w14:paraId="D56764C7">
            <w:pPr>
              <w:pStyle w:val="style0"/>
              <w:spacing w:lineRule="auto" w:line="420"/>
              <w:rPr>
                <w:rFonts w:ascii="RobotoStatic" w:cs="Zawgyi-One" w:hAnsi="Source Sans Pro"/>
              </w:rPr>
            </w:pPr>
            <w:r>
              <w:rPr>
                <w:rFonts w:ascii="RobotoStatic" w:cs="Zawgyi-One" w:hAnsi="Source Sans Pro"/>
                <w:sz w:val="18"/>
                <w:szCs w:val="18"/>
              </w:rPr>
              <w:t>September</w:t>
            </w:r>
          </w:p>
        </w:tc>
        <w:tc>
          <w:tcPr>
            <w:tcW w:w="4600" w:type="dxa"/>
            <w:tcBorders/>
            <w:shd w:val="clear" w:color="auto" w:fill="auto"/>
            <w:tcMar>
              <w:top w:w="80" w:type="dxa"/>
              <w:left w:w="100" w:type="dxa"/>
              <w:bottom w:w="80" w:type="dxa"/>
              <w:right w:w="100" w:type="dxa"/>
            </w:tcMar>
            <w:vAlign w:val="center"/>
          </w:tcPr>
          <w:p w14:paraId="0FFE884A">
            <w:pPr>
              <w:pStyle w:val="style0"/>
              <w:spacing w:lineRule="auto" w:line="420"/>
              <w:rPr>
                <w:rFonts w:ascii="RobotoStatic" w:cs="Zawgyi-One" w:hAnsi="Source Sans Pro"/>
              </w:rPr>
            </w:pPr>
            <w:r>
              <w:rPr>
                <w:rFonts w:ascii="RobotoStatic" w:cs="Zawgyi-One" w:hAnsi="Source Sans Pro"/>
                <w:sz w:val="18"/>
                <w:szCs w:val="18"/>
              </w:rPr>
              <w:t>Steering Committee; Q3 Executive Security Council meeting</w:t>
            </w:r>
          </w:p>
        </w:tc>
        <w:tc>
          <w:tcPr>
            <w:tcW w:w="3360" w:type="dxa"/>
            <w:tcBorders/>
            <w:shd w:val="clear" w:color="auto" w:fill="auto"/>
            <w:tcMar>
              <w:top w:w="80" w:type="dxa"/>
              <w:left w:w="100" w:type="dxa"/>
              <w:bottom w:w="80" w:type="dxa"/>
              <w:right w:w="100" w:type="dxa"/>
            </w:tcMar>
            <w:vAlign w:val="center"/>
          </w:tcPr>
          <w:p w14:paraId="46AA43C7">
            <w:pPr>
              <w:pStyle w:val="style0"/>
              <w:spacing w:lineRule="auto" w:line="420"/>
              <w:rPr>
                <w:rFonts w:ascii="RobotoStatic" w:cs="Zawgyi-One" w:hAnsi="Source Sans Pro"/>
              </w:rPr>
            </w:pPr>
            <w:r>
              <w:rPr>
                <w:rFonts w:ascii="RobotoStatic" w:cs="Zawgyi-One" w:hAnsi="Source Sans Pro"/>
                <w:sz w:val="18"/>
                <w:szCs w:val="18"/>
              </w:rPr>
              <w:t>Q3 Board Risk &amp; Audit Committee report; budget planning for next fiscal year begins</w:t>
            </w:r>
          </w:p>
        </w:tc>
      </w:tr>
      <w:tr w14:paraId="1368BBB1">
        <w:tblPrEx/>
        <w:trPr/>
        <w:tc>
          <w:tcPr>
            <w:tcW w:w="1400" w:type="dxa"/>
            <w:tcBorders/>
            <w:shd w:val="clear" w:color="auto" w:fill="auto"/>
            <w:tcMar>
              <w:top w:w="80" w:type="dxa"/>
              <w:left w:w="100" w:type="dxa"/>
              <w:bottom w:w="80" w:type="dxa"/>
              <w:right w:w="100" w:type="dxa"/>
            </w:tcMar>
            <w:vAlign w:val="center"/>
          </w:tcPr>
          <w:p w14:paraId="8055CD54">
            <w:pPr>
              <w:pStyle w:val="style0"/>
              <w:spacing w:lineRule="auto" w:line="420"/>
              <w:rPr>
                <w:rFonts w:ascii="RobotoStatic" w:cs="Zawgyi-One" w:hAnsi="Source Sans Pro"/>
              </w:rPr>
            </w:pPr>
            <w:r>
              <w:rPr>
                <w:rFonts w:ascii="RobotoStatic" w:cs="Zawgyi-One" w:hAnsi="Source Sans Pro"/>
                <w:sz w:val="18"/>
                <w:szCs w:val="18"/>
              </w:rPr>
              <w:t>October</w:t>
            </w:r>
          </w:p>
        </w:tc>
        <w:tc>
          <w:tcPr>
            <w:tcW w:w="4600" w:type="dxa"/>
            <w:tcBorders/>
            <w:shd w:val="clear" w:color="auto" w:fill="auto"/>
            <w:tcMar>
              <w:top w:w="80" w:type="dxa"/>
              <w:left w:w="100" w:type="dxa"/>
              <w:bottom w:w="80" w:type="dxa"/>
              <w:right w:w="100" w:type="dxa"/>
            </w:tcMar>
            <w:vAlign w:val="center"/>
          </w:tcPr>
          <w:p w14:paraId="4D2893AF">
            <w:pPr>
              <w:pStyle w:val="style0"/>
              <w:spacing w:lineRule="auto" w:line="420"/>
              <w:rPr>
                <w:rFonts w:ascii="RobotoStatic" w:cs="Zawgyi-One" w:hAnsi="Source Sans Pro"/>
              </w:rPr>
            </w:pPr>
            <w:r>
              <w:rPr>
                <w:rFonts w:ascii="RobotoStatic" w:cs="Zawgyi-One" w:hAnsi="Source Sans Pro"/>
                <w:sz w:val="18"/>
                <w:szCs w:val="18"/>
              </w:rPr>
              <w:t>Steering Committee; Cloud Security WG</w:t>
            </w:r>
          </w:p>
        </w:tc>
        <w:tc>
          <w:tcPr>
            <w:tcW w:w="3360" w:type="dxa"/>
            <w:tcBorders/>
            <w:shd w:val="clear" w:color="auto" w:fill="auto"/>
            <w:tcMar>
              <w:top w:w="80" w:type="dxa"/>
              <w:left w:w="100" w:type="dxa"/>
              <w:bottom w:w="80" w:type="dxa"/>
              <w:right w:w="100" w:type="dxa"/>
            </w:tcMar>
            <w:vAlign w:val="center"/>
          </w:tcPr>
          <w:p w14:paraId="5685A425">
            <w:pPr>
              <w:pStyle w:val="style0"/>
              <w:spacing w:lineRule="auto" w:line="420"/>
              <w:rPr>
                <w:rFonts w:ascii="RobotoStatic" w:cs="Zawgyi-One" w:hAnsi="Source Sans Pro"/>
              </w:rPr>
            </w:pPr>
            <w:r>
              <w:rPr>
                <w:rFonts w:ascii="RobotoStatic" w:cs="Zawgyi-One" w:hAnsi="Source Sans Pro"/>
                <w:sz w:val="18"/>
                <w:szCs w:val="18"/>
              </w:rPr>
              <w:t>Security awareness campaign (H2) launch</w:t>
            </w:r>
          </w:p>
        </w:tc>
      </w:tr>
      <w:tr w14:paraId="704E2F8C">
        <w:tblPrEx/>
        <w:trPr/>
        <w:tc>
          <w:tcPr>
            <w:tcW w:w="1400" w:type="dxa"/>
            <w:tcBorders/>
            <w:shd w:val="clear" w:color="auto" w:fill="auto"/>
            <w:tcMar>
              <w:top w:w="80" w:type="dxa"/>
              <w:left w:w="100" w:type="dxa"/>
              <w:bottom w:w="80" w:type="dxa"/>
              <w:right w:w="100" w:type="dxa"/>
            </w:tcMar>
            <w:vAlign w:val="center"/>
          </w:tcPr>
          <w:p w14:paraId="126A08EA">
            <w:pPr>
              <w:pStyle w:val="style0"/>
              <w:spacing w:lineRule="auto" w:line="420"/>
              <w:rPr>
                <w:rFonts w:ascii="RobotoStatic" w:cs="Zawgyi-One" w:hAnsi="Source Sans Pro"/>
              </w:rPr>
            </w:pPr>
            <w:r>
              <w:rPr>
                <w:rFonts w:ascii="RobotoStatic" w:cs="Zawgyi-One" w:hAnsi="Source Sans Pro"/>
                <w:sz w:val="18"/>
                <w:szCs w:val="18"/>
              </w:rPr>
              <w:t>November</w:t>
            </w:r>
          </w:p>
        </w:tc>
        <w:tc>
          <w:tcPr>
            <w:tcW w:w="4600" w:type="dxa"/>
            <w:tcBorders/>
            <w:shd w:val="clear" w:color="auto" w:fill="auto"/>
            <w:tcMar>
              <w:top w:w="80" w:type="dxa"/>
              <w:left w:w="100" w:type="dxa"/>
              <w:bottom w:w="80" w:type="dxa"/>
              <w:right w:w="100" w:type="dxa"/>
            </w:tcMar>
            <w:vAlign w:val="center"/>
          </w:tcPr>
          <w:p w14:paraId="7D99E9EC">
            <w:pPr>
              <w:pStyle w:val="style0"/>
              <w:spacing w:lineRule="auto" w:line="420"/>
              <w:rPr>
                <w:rFonts w:ascii="RobotoStatic" w:cs="Zawgyi-One" w:hAnsi="Source Sans Pro"/>
              </w:rPr>
            </w:pPr>
            <w:r>
              <w:rPr>
                <w:rFonts w:ascii="RobotoStatic" w:cs="Zawgyi-One" w:hAnsi="Source Sans Pro"/>
                <w:sz w:val="18"/>
                <w:szCs w:val="18"/>
              </w:rPr>
              <w:t>Steering Committee; Incident Response WG</w:t>
            </w:r>
          </w:p>
        </w:tc>
        <w:tc>
          <w:tcPr>
            <w:tcW w:w="3360" w:type="dxa"/>
            <w:tcBorders/>
            <w:shd w:val="clear" w:color="auto" w:fill="auto"/>
            <w:tcMar>
              <w:top w:w="80" w:type="dxa"/>
              <w:left w:w="100" w:type="dxa"/>
              <w:bottom w:w="80" w:type="dxa"/>
              <w:right w:w="100" w:type="dxa"/>
            </w:tcMar>
            <w:vAlign w:val="center"/>
          </w:tcPr>
          <w:p w14:paraId="7297B36F">
            <w:pPr>
              <w:pStyle w:val="style0"/>
              <w:spacing w:lineRule="auto" w:line="420"/>
              <w:rPr>
                <w:rFonts w:ascii="RobotoStatic" w:cs="Zawgyi-One" w:hAnsi="Source Sans Pro"/>
              </w:rPr>
            </w:pPr>
            <w:r>
              <w:rPr>
                <w:rFonts w:ascii="RobotoStatic" w:cs="Zawgyi-One" w:hAnsi="Source Sans Pro"/>
                <w:sz w:val="18"/>
                <w:szCs w:val="18"/>
              </w:rPr>
              <w:t>Annual internal audit of governance controls</w:t>
            </w:r>
          </w:p>
        </w:tc>
      </w:tr>
      <w:tr w14:paraId="D5F6EE6F">
        <w:tblPrEx/>
        <w:trPr/>
        <w:tc>
          <w:tcPr>
            <w:tcW w:w="1400" w:type="dxa"/>
            <w:tcBorders/>
            <w:shd w:val="clear" w:color="auto" w:fill="auto"/>
            <w:tcMar>
              <w:top w:w="80" w:type="dxa"/>
              <w:left w:w="100" w:type="dxa"/>
              <w:bottom w:w="80" w:type="dxa"/>
              <w:right w:w="100" w:type="dxa"/>
            </w:tcMar>
            <w:vAlign w:val="center"/>
          </w:tcPr>
          <w:p w14:paraId="E9376071">
            <w:pPr>
              <w:pStyle w:val="style0"/>
              <w:spacing w:lineRule="auto" w:line="420"/>
              <w:rPr>
                <w:rFonts w:ascii="RobotoStatic" w:cs="Zawgyi-One" w:hAnsi="Source Sans Pro"/>
              </w:rPr>
            </w:pPr>
            <w:r>
              <w:rPr>
                <w:rFonts w:ascii="RobotoStatic" w:cs="Zawgyi-One" w:hAnsi="Source Sans Pro"/>
                <w:sz w:val="18"/>
                <w:szCs w:val="18"/>
              </w:rPr>
              <w:t>December</w:t>
            </w:r>
          </w:p>
        </w:tc>
        <w:tc>
          <w:tcPr>
            <w:tcW w:w="4600" w:type="dxa"/>
            <w:tcBorders/>
            <w:shd w:val="clear" w:color="auto" w:fill="auto"/>
            <w:tcMar>
              <w:top w:w="80" w:type="dxa"/>
              <w:left w:w="100" w:type="dxa"/>
              <w:bottom w:w="80" w:type="dxa"/>
              <w:right w:w="100" w:type="dxa"/>
            </w:tcMar>
            <w:vAlign w:val="center"/>
          </w:tcPr>
          <w:p w14:paraId="F9D9B9D2">
            <w:pPr>
              <w:pStyle w:val="style0"/>
              <w:spacing w:lineRule="auto" w:line="420"/>
              <w:rPr>
                <w:rFonts w:ascii="RobotoStatic" w:cs="Zawgyi-One" w:hAnsi="Source Sans Pro"/>
              </w:rPr>
            </w:pPr>
            <w:r>
              <w:rPr>
                <w:rFonts w:ascii="RobotoStatic" w:cs="Zawgyi-One" w:hAnsi="Source Sans Pro"/>
                <w:sz w:val="18"/>
                <w:szCs w:val="18"/>
              </w:rPr>
              <w:t>Steering Committee; Q4 Executive Security Council meeting</w:t>
            </w:r>
          </w:p>
        </w:tc>
        <w:tc>
          <w:tcPr>
            <w:tcW w:w="3360" w:type="dxa"/>
            <w:tcBorders/>
            <w:shd w:val="clear" w:color="auto" w:fill="auto"/>
            <w:tcMar>
              <w:top w:w="80" w:type="dxa"/>
              <w:left w:w="100" w:type="dxa"/>
              <w:bottom w:w="80" w:type="dxa"/>
              <w:right w:w="100" w:type="dxa"/>
            </w:tcMar>
            <w:vAlign w:val="center"/>
          </w:tcPr>
          <w:p w14:paraId="C1D0DEB0">
            <w:pPr>
              <w:pStyle w:val="style0"/>
              <w:spacing w:lineRule="auto" w:line="420"/>
              <w:rPr>
                <w:rFonts w:ascii="RobotoStatic" w:cs="Zawgyi-One" w:hAnsi="Source Sans Pro"/>
              </w:rPr>
            </w:pPr>
            <w:r>
              <w:rPr>
                <w:rFonts w:ascii="RobotoStatic" w:cs="Zawgyi-One" w:hAnsi="Source Sans Pro"/>
                <w:sz w:val="18"/>
                <w:szCs w:val="18"/>
              </w:rPr>
              <w:t>Q4 Board Risk &amp; Audit Committee report; next year's governance calendar and ToR review approved</w:t>
            </w:r>
          </w:p>
        </w:tc>
      </w:tr>
    </w:tbl>
    <w:p w14:paraId="25D22017">
      <w:pPr>
        <w:pStyle w:val="style0"/>
        <w:spacing w:lineRule="auto" w:line="420"/>
        <w:rPr>
          <w:rFonts w:ascii="RobotoStatic" w:cs="Zawgyi-One" w:hAnsi="Source Sans Pro"/>
          <w:color w:val="auto"/>
        </w:rPr>
      </w:pPr>
    </w:p>
    <w:p w14:paraId="836DB0B1">
      <w:pPr>
        <w:pStyle w:val="style0"/>
        <w:spacing w:lineRule="auto" w:line="420"/>
        <w:rPr>
          <w:rFonts w:ascii="RobotoStatic" w:cs="Zawgyi-One" w:hAnsi="Source Sans Pro"/>
          <w:color w:val="auto"/>
        </w:rPr>
      </w:pPr>
    </w:p>
    <w:p w14:paraId="669E8209">
      <w:pPr>
        <w:pStyle w:val="style0"/>
        <w:spacing w:after="160" w:lineRule="auto" w:line="420"/>
        <w:rPr>
          <w:rFonts w:ascii="RobotoStatic" w:cs="Zawgyi-One" w:hAnsi="Source Sans Pro"/>
          <w:b/>
          <w:bCs/>
        </w:rPr>
      </w:pPr>
      <w:r>
        <w:rPr>
          <w:rFonts w:ascii="RobotoStatic" w:cs="Zawgyi-One" w:hAnsi="Source Sans Pro"/>
          <w:b/>
          <w:bCs/>
          <w:lang w:val="en-US"/>
        </w:rPr>
        <w:t xml:space="preserve">TASK 4: RACI ACCOUNTABILITY MATRIX </w:t>
      </w:r>
    </w:p>
    <w:p w14:paraId="254DD7BC">
      <w:pPr>
        <w:pStyle w:val="style2"/>
        <w:spacing w:before="280" w:after="140" w:lineRule="auto" w:line="420"/>
        <w:rPr>
          <w:rFonts w:ascii="RobotoStatic" w:cs="Zawgyi-One" w:hAnsi="Source Sans Pro"/>
          <w:color w:val="auto"/>
        </w:rPr>
      </w:pPr>
      <w:r>
        <w:rPr>
          <w:rFonts w:ascii="RobotoStatic" w:cs="Zawgyi-One" w:hAnsi="Source Sans Pro"/>
          <w:b/>
          <w:bCs/>
          <w:color w:val="auto"/>
          <w:sz w:val="24"/>
          <w:szCs w:val="24"/>
        </w:rPr>
        <w:t>4.1 TechGlobal RACI Matrix</w:t>
      </w:r>
    </w:p>
    <w:p w14:paraId="56EB2847">
      <w:pPr>
        <w:pStyle w:val="style0"/>
        <w:spacing w:after="160" w:lineRule="auto" w:line="420"/>
        <w:rPr>
          <w:rFonts w:ascii="RobotoStatic" w:cs="Zawgyi-One" w:hAnsi="Source Sans Pro"/>
        </w:rPr>
      </w:pPr>
      <w:r>
        <w:rPr>
          <w:rFonts w:ascii="RobotoStatic" w:cs="Zawgyi-One" w:hAnsi="Source Sans Pro"/>
          <w:sz w:val="21"/>
          <w:szCs w:val="21"/>
        </w:rPr>
        <w:t>R = Responsible, A = Accountable, C = Consulted, I = Informed. Each activity has one primary Accountable role wherever practicable; two rows (marked in Section 4.2) carry a dual accountability that is deliberately flagged rather than resolved by the matrix alone.</w:t>
      </w:r>
    </w:p>
    <w:tbl>
      <w:tblPr>
        <w:tblW w:w="8420" w:type="dxa"/>
        <w:tblInd w:w="-15" w:type="dxa"/>
        <w:tblBorders>
          <w:top w:val="single" w:sz="4" w:space="0" w:color="b9c4ce"/>
          <w:left w:val="single" w:sz="4" w:space="0" w:color="b9c4ce"/>
          <w:bottom w:val="single" w:sz="4" w:space="0" w:color="b9c4ce"/>
          <w:right w:val="single" w:sz="4" w:space="0" w:color="b9c4ce"/>
          <w:insideH w:val="single" w:sz="4" w:space="0" w:color="b9c4ce"/>
          <w:insideV w:val="single" w:sz="4" w:space="0" w:color="b9c4ce"/>
        </w:tblBorders>
        <w:tblCellMar>
          <w:top w:w="0" w:type="dxa"/>
          <w:bottom w:w="0" w:type="dxa"/>
        </w:tblCellMar>
        <w:tblLook w:val="04A0" w:firstRow="1" w:lastRow="0" w:firstColumn="1" w:lastColumn="0" w:noHBand="0" w:noVBand="1"/>
      </w:tblPr>
      <w:tblGrid>
        <w:gridCol w:w="2379"/>
        <w:gridCol w:w="697"/>
        <w:gridCol w:w="644"/>
        <w:gridCol w:w="651"/>
        <w:gridCol w:w="656"/>
        <w:gridCol w:w="640"/>
        <w:gridCol w:w="830"/>
        <w:gridCol w:w="595"/>
        <w:gridCol w:w="583"/>
        <w:gridCol w:w="749"/>
      </w:tblGrid>
      <w:tr w14:paraId="4266DCC9">
        <w:trPr>
          <w:tblHeader/>
        </w:trPr>
        <w:tc>
          <w:tcPr>
            <w:tcW w:w="2560" w:type="dxa"/>
            <w:tcBorders/>
            <w:shd w:val="clear" w:color="auto" w:fill="auto"/>
            <w:tcMar>
              <w:top w:w="80" w:type="dxa"/>
              <w:left w:w="100" w:type="dxa"/>
              <w:bottom w:w="80" w:type="dxa"/>
              <w:right w:w="100" w:type="dxa"/>
            </w:tcMar>
            <w:vAlign w:val="center"/>
          </w:tcPr>
          <w:p w14:paraId="CE0FA1BF">
            <w:pPr>
              <w:pStyle w:val="style0"/>
              <w:spacing w:lineRule="auto" w:line="420"/>
              <w:jc w:val="center"/>
              <w:rPr>
                <w:rFonts w:ascii="RobotoStatic" w:cs="Zawgyi-One" w:hAnsi="Source Sans Pro"/>
              </w:rPr>
            </w:pPr>
            <w:r>
              <w:rPr>
                <w:rFonts w:ascii="RobotoStatic" w:cs="Zawgyi-One" w:hAnsi="Source Sans Pro"/>
                <w:b/>
                <w:bCs/>
                <w:sz w:val="18"/>
                <w:szCs w:val="18"/>
              </w:rPr>
              <w:t>Activity</w:t>
            </w:r>
          </w:p>
        </w:tc>
        <w:tc>
          <w:tcPr>
            <w:tcW w:w="700" w:type="dxa"/>
            <w:tcBorders/>
            <w:shd w:val="clear" w:color="auto" w:fill="auto"/>
            <w:tcMar>
              <w:top w:w="80" w:type="dxa"/>
              <w:left w:w="100" w:type="dxa"/>
              <w:bottom w:w="80" w:type="dxa"/>
              <w:right w:w="100" w:type="dxa"/>
            </w:tcMar>
            <w:vAlign w:val="center"/>
          </w:tcPr>
          <w:p w14:paraId="B7EF5F11">
            <w:pPr>
              <w:pStyle w:val="style0"/>
              <w:spacing w:lineRule="auto" w:line="420"/>
              <w:jc w:val="center"/>
              <w:rPr>
                <w:rFonts w:ascii="RobotoStatic" w:cs="Zawgyi-One" w:hAnsi="Source Sans Pro"/>
              </w:rPr>
            </w:pPr>
            <w:r>
              <w:rPr>
                <w:rFonts w:ascii="RobotoStatic" w:cs="Zawgyi-One" w:hAnsi="Source Sans Pro"/>
                <w:b/>
                <w:bCs/>
                <w:sz w:val="18"/>
                <w:szCs w:val="18"/>
              </w:rPr>
              <w:t>Board</w:t>
            </w:r>
          </w:p>
        </w:tc>
        <w:tc>
          <w:tcPr>
            <w:tcW w:w="660" w:type="dxa"/>
            <w:tcBorders/>
            <w:shd w:val="clear" w:color="auto" w:fill="auto"/>
            <w:tcMar>
              <w:top w:w="80" w:type="dxa"/>
              <w:left w:w="100" w:type="dxa"/>
              <w:bottom w:w="80" w:type="dxa"/>
              <w:right w:w="100" w:type="dxa"/>
            </w:tcMar>
            <w:vAlign w:val="center"/>
          </w:tcPr>
          <w:p w14:paraId="F3B6D9A3">
            <w:pPr>
              <w:pStyle w:val="style0"/>
              <w:spacing w:lineRule="auto" w:line="420"/>
              <w:jc w:val="center"/>
              <w:rPr>
                <w:rFonts w:ascii="RobotoStatic" w:cs="Zawgyi-One" w:hAnsi="Source Sans Pro"/>
              </w:rPr>
            </w:pPr>
            <w:r>
              <w:rPr>
                <w:rFonts w:ascii="RobotoStatic" w:cs="Zawgyi-One" w:hAnsi="Source Sans Pro"/>
                <w:b/>
                <w:bCs/>
                <w:sz w:val="18"/>
                <w:szCs w:val="18"/>
              </w:rPr>
              <w:t>CEO</w:t>
            </w:r>
          </w:p>
        </w:tc>
        <w:tc>
          <w:tcPr>
            <w:tcW w:w="660" w:type="dxa"/>
            <w:tcBorders/>
            <w:shd w:val="clear" w:color="auto" w:fill="auto"/>
            <w:tcMar>
              <w:top w:w="80" w:type="dxa"/>
              <w:left w:w="100" w:type="dxa"/>
              <w:bottom w:w="80" w:type="dxa"/>
              <w:right w:w="100" w:type="dxa"/>
            </w:tcMar>
            <w:vAlign w:val="center"/>
          </w:tcPr>
          <w:p w14:paraId="7808907A">
            <w:pPr>
              <w:pStyle w:val="style0"/>
              <w:spacing w:lineRule="auto" w:line="420"/>
              <w:jc w:val="center"/>
              <w:rPr>
                <w:rFonts w:ascii="RobotoStatic" w:cs="Zawgyi-One" w:hAnsi="Source Sans Pro"/>
              </w:rPr>
            </w:pPr>
            <w:r>
              <w:rPr>
                <w:rFonts w:ascii="RobotoStatic" w:cs="Zawgyi-One" w:hAnsi="Source Sans Pro"/>
                <w:b/>
                <w:bCs/>
                <w:sz w:val="18"/>
                <w:szCs w:val="18"/>
              </w:rPr>
              <w:t>CISO</w:t>
            </w:r>
          </w:p>
        </w:tc>
        <w:tc>
          <w:tcPr>
            <w:tcW w:w="660" w:type="dxa"/>
            <w:tcBorders/>
            <w:shd w:val="clear" w:color="auto" w:fill="auto"/>
            <w:tcMar>
              <w:top w:w="80" w:type="dxa"/>
              <w:left w:w="100" w:type="dxa"/>
              <w:bottom w:w="80" w:type="dxa"/>
              <w:right w:w="100" w:type="dxa"/>
            </w:tcMar>
            <w:vAlign w:val="center"/>
          </w:tcPr>
          <w:p w14:paraId="3F8C1211">
            <w:pPr>
              <w:pStyle w:val="style0"/>
              <w:spacing w:lineRule="auto" w:line="420"/>
              <w:jc w:val="center"/>
              <w:rPr>
                <w:rFonts w:ascii="RobotoStatic" w:cs="Zawgyi-One" w:hAnsi="Source Sans Pro"/>
              </w:rPr>
            </w:pPr>
            <w:r>
              <w:rPr>
                <w:rFonts w:ascii="RobotoStatic" w:cs="Zawgyi-One" w:hAnsi="Source Sans Pro"/>
                <w:b/>
                <w:bCs/>
                <w:sz w:val="18"/>
                <w:szCs w:val="18"/>
              </w:rPr>
              <w:t>CRO/ Risk</w:t>
            </w:r>
          </w:p>
        </w:tc>
        <w:tc>
          <w:tcPr>
            <w:tcW w:w="640" w:type="dxa"/>
            <w:tcBorders/>
            <w:shd w:val="clear" w:color="auto" w:fill="auto"/>
            <w:tcMar>
              <w:top w:w="80" w:type="dxa"/>
              <w:left w:w="100" w:type="dxa"/>
              <w:bottom w:w="80" w:type="dxa"/>
              <w:right w:w="100" w:type="dxa"/>
            </w:tcMar>
            <w:vAlign w:val="center"/>
          </w:tcPr>
          <w:p w14:paraId="339CBD71">
            <w:pPr>
              <w:pStyle w:val="style0"/>
              <w:spacing w:lineRule="auto" w:line="420"/>
              <w:jc w:val="center"/>
              <w:rPr>
                <w:rFonts w:ascii="RobotoStatic" w:cs="Zawgyi-One" w:hAnsi="Source Sans Pro"/>
              </w:rPr>
            </w:pPr>
            <w:r>
              <w:rPr>
                <w:rFonts w:ascii="RobotoStatic" w:cs="Zawgyi-One" w:hAnsi="Source Sans Pro"/>
                <w:b/>
                <w:bCs/>
                <w:sz w:val="18"/>
                <w:szCs w:val="18"/>
              </w:rPr>
              <w:t>Legal</w:t>
            </w:r>
          </w:p>
        </w:tc>
        <w:tc>
          <w:tcPr>
            <w:tcW w:w="660" w:type="dxa"/>
            <w:tcBorders/>
            <w:shd w:val="clear" w:color="auto" w:fill="auto"/>
            <w:tcMar>
              <w:top w:w="80" w:type="dxa"/>
              <w:left w:w="100" w:type="dxa"/>
              <w:bottom w:w="80" w:type="dxa"/>
              <w:right w:w="100" w:type="dxa"/>
            </w:tcMar>
            <w:vAlign w:val="center"/>
          </w:tcPr>
          <w:p w14:paraId="ACFF7B47">
            <w:pPr>
              <w:pStyle w:val="style0"/>
              <w:spacing w:lineRule="auto" w:line="420"/>
              <w:jc w:val="center"/>
              <w:rPr>
                <w:rFonts w:ascii="RobotoStatic" w:cs="Zawgyi-One" w:hAnsi="Source Sans Pro"/>
              </w:rPr>
            </w:pPr>
            <w:r>
              <w:rPr>
                <w:rFonts w:ascii="RobotoStatic" w:cs="Zawgyi-One" w:hAnsi="Source Sans Pro"/>
                <w:b/>
                <w:bCs/>
                <w:sz w:val="18"/>
                <w:szCs w:val="18"/>
              </w:rPr>
              <w:t>Finance</w:t>
            </w:r>
          </w:p>
        </w:tc>
        <w:tc>
          <w:tcPr>
            <w:tcW w:w="620" w:type="dxa"/>
            <w:tcBorders/>
            <w:shd w:val="clear" w:color="auto" w:fill="auto"/>
            <w:tcMar>
              <w:top w:w="80" w:type="dxa"/>
              <w:left w:w="100" w:type="dxa"/>
              <w:bottom w:w="80" w:type="dxa"/>
              <w:right w:w="100" w:type="dxa"/>
            </w:tcMar>
            <w:vAlign w:val="center"/>
          </w:tcPr>
          <w:p w14:paraId="4882336F">
            <w:pPr>
              <w:pStyle w:val="style0"/>
              <w:spacing w:lineRule="auto" w:line="420"/>
              <w:jc w:val="center"/>
              <w:rPr>
                <w:rFonts w:ascii="RobotoStatic" w:cs="Zawgyi-One" w:hAnsi="Source Sans Pro"/>
              </w:rPr>
            </w:pPr>
            <w:r>
              <w:rPr>
                <w:rFonts w:ascii="RobotoStatic" w:cs="Zawgyi-One" w:hAnsi="Source Sans Pro"/>
                <w:b/>
                <w:bCs/>
                <w:sz w:val="18"/>
                <w:szCs w:val="18"/>
              </w:rPr>
              <w:t>HR</w:t>
            </w:r>
          </w:p>
        </w:tc>
        <w:tc>
          <w:tcPr>
            <w:tcW w:w="620" w:type="dxa"/>
            <w:tcBorders/>
            <w:shd w:val="clear" w:color="auto" w:fill="auto"/>
            <w:tcMar>
              <w:top w:w="80" w:type="dxa"/>
              <w:left w:w="100" w:type="dxa"/>
              <w:bottom w:w="80" w:type="dxa"/>
              <w:right w:w="100" w:type="dxa"/>
            </w:tcMar>
            <w:vAlign w:val="center"/>
          </w:tcPr>
          <w:p w14:paraId="0DE6732D">
            <w:pPr>
              <w:pStyle w:val="style0"/>
              <w:spacing w:lineRule="auto" w:line="420"/>
              <w:jc w:val="center"/>
              <w:rPr>
                <w:rFonts w:ascii="RobotoStatic" w:cs="Zawgyi-One" w:hAnsi="Source Sans Pro"/>
              </w:rPr>
            </w:pPr>
            <w:r>
              <w:rPr>
                <w:rFonts w:ascii="RobotoStatic" w:cs="Zawgyi-One" w:hAnsi="Source Sans Pro"/>
                <w:b/>
                <w:bCs/>
                <w:sz w:val="18"/>
                <w:szCs w:val="18"/>
              </w:rPr>
              <w:t>IT</w:t>
            </w:r>
          </w:p>
        </w:tc>
        <w:tc>
          <w:tcPr>
            <w:tcW w:w="640" w:type="dxa"/>
            <w:tcBorders/>
            <w:shd w:val="clear" w:color="auto" w:fill="auto"/>
            <w:tcMar>
              <w:top w:w="80" w:type="dxa"/>
              <w:left w:w="100" w:type="dxa"/>
              <w:bottom w:w="80" w:type="dxa"/>
              <w:right w:w="100" w:type="dxa"/>
            </w:tcMar>
            <w:vAlign w:val="center"/>
          </w:tcPr>
          <w:p w14:paraId="91A3EEF1">
            <w:pPr>
              <w:pStyle w:val="style0"/>
              <w:spacing w:lineRule="auto" w:line="420"/>
              <w:jc w:val="center"/>
              <w:rPr>
                <w:rFonts w:ascii="RobotoStatic" w:cs="Zawgyi-One" w:hAnsi="Source Sans Pro"/>
              </w:rPr>
            </w:pPr>
            <w:r>
              <w:rPr>
                <w:rFonts w:ascii="RobotoStatic" w:cs="Zawgyi-One" w:hAnsi="Source Sans Pro"/>
                <w:b/>
                <w:bCs/>
                <w:sz w:val="18"/>
                <w:szCs w:val="18"/>
              </w:rPr>
              <w:t>BU Leader</w:t>
            </w:r>
          </w:p>
        </w:tc>
      </w:tr>
      <w:tr w14:paraId="3C3F9F73">
        <w:tblPrEx/>
        <w:trPr/>
        <w:tc>
          <w:tcPr>
            <w:tcW w:w="2560" w:type="dxa"/>
            <w:tcBorders/>
            <w:shd w:val="clear" w:color="auto" w:fill="auto"/>
            <w:tcMar>
              <w:top w:w="80" w:type="dxa"/>
              <w:left w:w="100" w:type="dxa"/>
              <w:bottom w:w="80" w:type="dxa"/>
              <w:right w:w="100" w:type="dxa"/>
            </w:tcMar>
            <w:vAlign w:val="center"/>
          </w:tcPr>
          <w:p w14:paraId="15EBB244">
            <w:pPr>
              <w:pStyle w:val="style0"/>
              <w:spacing w:lineRule="auto" w:line="420"/>
              <w:rPr>
                <w:rFonts w:ascii="RobotoStatic" w:cs="Zawgyi-One" w:hAnsi="Source Sans Pro"/>
              </w:rPr>
            </w:pPr>
            <w:r>
              <w:rPr>
                <w:rFonts w:ascii="RobotoStatic" w:cs="Zawgyi-One" w:hAnsi="Source Sans Pro"/>
                <w:sz w:val="18"/>
                <w:szCs w:val="18"/>
              </w:rPr>
              <w:t>Cybersecurity strategy approval</w:t>
            </w:r>
          </w:p>
        </w:tc>
        <w:tc>
          <w:tcPr>
            <w:tcW w:w="700" w:type="dxa"/>
            <w:tcBorders/>
            <w:shd w:val="clear" w:color="auto" w:fill="auto"/>
            <w:tcMar>
              <w:top w:w="80" w:type="dxa"/>
              <w:left w:w="100" w:type="dxa"/>
              <w:bottom w:w="80" w:type="dxa"/>
              <w:right w:w="100" w:type="dxa"/>
            </w:tcMar>
            <w:vAlign w:val="center"/>
          </w:tcPr>
          <w:p w14:paraId="6533F808">
            <w:pPr>
              <w:pStyle w:val="style0"/>
              <w:spacing w:lineRule="auto" w:line="420"/>
              <w:rPr>
                <w:rFonts w:ascii="RobotoStatic" w:cs="Zawgyi-One" w:hAnsi="Source Sans Pro"/>
              </w:rPr>
            </w:pPr>
            <w:r>
              <w:rPr>
                <w:rFonts w:ascii="RobotoStatic" w:cs="Zawgyi-One" w:hAnsi="Source Sans Pro"/>
                <w:sz w:val="18"/>
                <w:szCs w:val="18"/>
              </w:rPr>
              <w:t>A</w:t>
            </w:r>
          </w:p>
        </w:tc>
        <w:tc>
          <w:tcPr>
            <w:tcW w:w="660" w:type="dxa"/>
            <w:tcBorders/>
            <w:shd w:val="clear" w:color="auto" w:fill="auto"/>
            <w:tcMar>
              <w:top w:w="80" w:type="dxa"/>
              <w:left w:w="100" w:type="dxa"/>
              <w:bottom w:w="80" w:type="dxa"/>
              <w:right w:w="100" w:type="dxa"/>
            </w:tcMar>
            <w:vAlign w:val="center"/>
          </w:tcPr>
          <w:p w14:paraId="253B6BAE">
            <w:pPr>
              <w:pStyle w:val="style0"/>
              <w:spacing w:lineRule="auto" w:line="420"/>
              <w:rPr>
                <w:rFonts w:ascii="RobotoStatic" w:cs="Zawgyi-One" w:hAnsi="Source Sans Pro"/>
              </w:rPr>
            </w:pPr>
            <w:r>
              <w:rPr>
                <w:rFonts w:ascii="RobotoStatic" w:cs="Zawgyi-One" w:hAnsi="Source Sans Pro"/>
                <w:sz w:val="18"/>
                <w:szCs w:val="18"/>
              </w:rPr>
              <w:t>C</w:t>
            </w:r>
          </w:p>
        </w:tc>
        <w:tc>
          <w:tcPr>
            <w:tcW w:w="660" w:type="dxa"/>
            <w:tcBorders/>
            <w:shd w:val="clear" w:color="auto" w:fill="auto"/>
            <w:tcMar>
              <w:top w:w="80" w:type="dxa"/>
              <w:left w:w="100" w:type="dxa"/>
              <w:bottom w:w="80" w:type="dxa"/>
              <w:right w:w="100" w:type="dxa"/>
            </w:tcMar>
            <w:vAlign w:val="center"/>
          </w:tcPr>
          <w:p w14:paraId="0D2272A4">
            <w:pPr>
              <w:pStyle w:val="style0"/>
              <w:spacing w:lineRule="auto" w:line="420"/>
              <w:rPr>
                <w:rFonts w:ascii="RobotoStatic" w:cs="Zawgyi-One" w:hAnsi="Source Sans Pro"/>
              </w:rPr>
            </w:pPr>
            <w:r>
              <w:rPr>
                <w:rFonts w:ascii="RobotoStatic" w:cs="Zawgyi-One" w:hAnsi="Source Sans Pro"/>
                <w:sz w:val="18"/>
                <w:szCs w:val="18"/>
              </w:rPr>
              <w:t>R</w:t>
            </w:r>
          </w:p>
        </w:tc>
        <w:tc>
          <w:tcPr>
            <w:tcW w:w="660" w:type="dxa"/>
            <w:tcBorders/>
            <w:shd w:val="clear" w:color="auto" w:fill="auto"/>
            <w:tcMar>
              <w:top w:w="80" w:type="dxa"/>
              <w:left w:w="100" w:type="dxa"/>
              <w:bottom w:w="80" w:type="dxa"/>
              <w:right w:w="100" w:type="dxa"/>
            </w:tcMar>
            <w:vAlign w:val="center"/>
          </w:tcPr>
          <w:p w14:paraId="D5836D78">
            <w:pPr>
              <w:pStyle w:val="style0"/>
              <w:spacing w:lineRule="auto" w:line="420"/>
              <w:rPr>
                <w:rFonts w:ascii="RobotoStatic" w:cs="Zawgyi-One" w:hAnsi="Source Sans Pro"/>
              </w:rPr>
            </w:pPr>
            <w:r>
              <w:rPr>
                <w:rFonts w:ascii="RobotoStatic" w:cs="Zawgyi-One" w:hAnsi="Source Sans Pro"/>
                <w:sz w:val="18"/>
                <w:szCs w:val="18"/>
              </w:rPr>
              <w:t>C</w:t>
            </w:r>
          </w:p>
        </w:tc>
        <w:tc>
          <w:tcPr>
            <w:tcW w:w="640" w:type="dxa"/>
            <w:tcBorders/>
            <w:shd w:val="clear" w:color="auto" w:fill="auto"/>
            <w:tcMar>
              <w:top w:w="80" w:type="dxa"/>
              <w:left w:w="100" w:type="dxa"/>
              <w:bottom w:w="80" w:type="dxa"/>
              <w:right w:w="100" w:type="dxa"/>
            </w:tcMar>
            <w:vAlign w:val="center"/>
          </w:tcPr>
          <w:p w14:paraId="928CD57A">
            <w:pPr>
              <w:pStyle w:val="style0"/>
              <w:spacing w:lineRule="auto" w:line="420"/>
              <w:rPr>
                <w:rFonts w:ascii="RobotoStatic" w:cs="Zawgyi-One" w:hAnsi="Source Sans Pro"/>
              </w:rPr>
            </w:pPr>
            <w:r>
              <w:rPr>
                <w:rFonts w:ascii="RobotoStatic" w:cs="Zawgyi-One" w:hAnsi="Source Sans Pro"/>
                <w:sz w:val="18"/>
                <w:szCs w:val="18"/>
              </w:rPr>
              <w:t>I</w:t>
            </w:r>
          </w:p>
        </w:tc>
        <w:tc>
          <w:tcPr>
            <w:tcW w:w="660" w:type="dxa"/>
            <w:tcBorders/>
            <w:shd w:val="clear" w:color="auto" w:fill="auto"/>
            <w:tcMar>
              <w:top w:w="80" w:type="dxa"/>
              <w:left w:w="100" w:type="dxa"/>
              <w:bottom w:w="80" w:type="dxa"/>
              <w:right w:w="100" w:type="dxa"/>
            </w:tcMar>
            <w:vAlign w:val="center"/>
          </w:tcPr>
          <w:p w14:paraId="6B73B8FC">
            <w:pPr>
              <w:pStyle w:val="style0"/>
              <w:spacing w:lineRule="auto" w:line="420"/>
              <w:rPr>
                <w:rFonts w:ascii="RobotoStatic" w:cs="Zawgyi-One" w:hAnsi="Source Sans Pro"/>
              </w:rPr>
            </w:pPr>
            <w:r>
              <w:rPr>
                <w:rFonts w:ascii="RobotoStatic" w:cs="Zawgyi-One" w:hAnsi="Source Sans Pro"/>
                <w:sz w:val="18"/>
                <w:szCs w:val="18"/>
              </w:rPr>
              <w:t>C</w:t>
            </w:r>
          </w:p>
        </w:tc>
        <w:tc>
          <w:tcPr>
            <w:tcW w:w="620" w:type="dxa"/>
            <w:tcBorders/>
            <w:shd w:val="clear" w:color="auto" w:fill="auto"/>
            <w:tcMar>
              <w:top w:w="80" w:type="dxa"/>
              <w:left w:w="100" w:type="dxa"/>
              <w:bottom w:w="80" w:type="dxa"/>
              <w:right w:w="100" w:type="dxa"/>
            </w:tcMar>
            <w:vAlign w:val="center"/>
          </w:tcPr>
          <w:p w14:paraId="51EB9CCE">
            <w:pPr>
              <w:pStyle w:val="style0"/>
              <w:spacing w:lineRule="auto" w:line="420"/>
              <w:rPr>
                <w:rFonts w:ascii="RobotoStatic" w:cs="Zawgyi-One" w:hAnsi="Source Sans Pro"/>
              </w:rPr>
            </w:pPr>
            <w:r>
              <w:rPr>
                <w:rFonts w:ascii="RobotoStatic" w:cs="Zawgyi-One" w:hAnsi="Source Sans Pro"/>
                <w:sz w:val="18"/>
                <w:szCs w:val="18"/>
              </w:rPr>
              <w:t>I</w:t>
            </w:r>
          </w:p>
        </w:tc>
        <w:tc>
          <w:tcPr>
            <w:tcW w:w="620" w:type="dxa"/>
            <w:tcBorders/>
            <w:shd w:val="clear" w:color="auto" w:fill="auto"/>
            <w:tcMar>
              <w:top w:w="80" w:type="dxa"/>
              <w:left w:w="100" w:type="dxa"/>
              <w:bottom w:w="80" w:type="dxa"/>
              <w:right w:w="100" w:type="dxa"/>
            </w:tcMar>
            <w:vAlign w:val="center"/>
          </w:tcPr>
          <w:p w14:paraId="7692924F">
            <w:pPr>
              <w:pStyle w:val="style0"/>
              <w:spacing w:lineRule="auto" w:line="420"/>
              <w:rPr>
                <w:rFonts w:ascii="RobotoStatic" w:cs="Zawgyi-One" w:hAnsi="Source Sans Pro"/>
              </w:rPr>
            </w:pPr>
            <w:r>
              <w:rPr>
                <w:rFonts w:ascii="RobotoStatic" w:cs="Zawgyi-One" w:hAnsi="Source Sans Pro"/>
                <w:sz w:val="18"/>
                <w:szCs w:val="18"/>
              </w:rPr>
              <w:t>I</w:t>
            </w:r>
          </w:p>
        </w:tc>
        <w:tc>
          <w:tcPr>
            <w:tcW w:w="640" w:type="dxa"/>
            <w:tcBorders/>
            <w:shd w:val="clear" w:color="auto" w:fill="auto"/>
            <w:tcMar>
              <w:top w:w="80" w:type="dxa"/>
              <w:left w:w="100" w:type="dxa"/>
              <w:bottom w:w="80" w:type="dxa"/>
              <w:right w:w="100" w:type="dxa"/>
            </w:tcMar>
            <w:vAlign w:val="center"/>
          </w:tcPr>
          <w:p w14:paraId="9C1C9804">
            <w:pPr>
              <w:pStyle w:val="style0"/>
              <w:spacing w:lineRule="auto" w:line="420"/>
              <w:rPr>
                <w:rFonts w:ascii="RobotoStatic" w:cs="Zawgyi-One" w:hAnsi="Source Sans Pro"/>
              </w:rPr>
            </w:pPr>
            <w:r>
              <w:rPr>
                <w:rFonts w:ascii="RobotoStatic" w:cs="Zawgyi-One" w:hAnsi="Source Sans Pro"/>
                <w:sz w:val="18"/>
                <w:szCs w:val="18"/>
              </w:rPr>
              <w:t>I</w:t>
            </w:r>
          </w:p>
        </w:tc>
      </w:tr>
      <w:tr w14:paraId="327EA71C">
        <w:tblPrEx/>
        <w:trPr/>
        <w:tc>
          <w:tcPr>
            <w:tcW w:w="2560" w:type="dxa"/>
            <w:tcBorders/>
            <w:shd w:val="clear" w:color="auto" w:fill="auto"/>
            <w:tcMar>
              <w:top w:w="80" w:type="dxa"/>
              <w:left w:w="100" w:type="dxa"/>
              <w:bottom w:w="80" w:type="dxa"/>
              <w:right w:w="100" w:type="dxa"/>
            </w:tcMar>
            <w:vAlign w:val="center"/>
          </w:tcPr>
          <w:p w14:paraId="4D0779E4">
            <w:pPr>
              <w:pStyle w:val="style0"/>
              <w:spacing w:lineRule="auto" w:line="420"/>
              <w:rPr>
                <w:rFonts w:ascii="RobotoStatic" w:cs="Zawgyi-One" w:hAnsi="Source Sans Pro"/>
              </w:rPr>
            </w:pPr>
            <w:r>
              <w:rPr>
                <w:rFonts w:ascii="RobotoStatic" w:cs="Zawgyi-One" w:hAnsi="Source Sans Pro"/>
                <w:sz w:val="18"/>
                <w:szCs w:val="18"/>
              </w:rPr>
              <w:t>Security policy approval</w:t>
            </w:r>
          </w:p>
        </w:tc>
        <w:tc>
          <w:tcPr>
            <w:tcW w:w="700" w:type="dxa"/>
            <w:tcBorders/>
            <w:shd w:val="clear" w:color="auto" w:fill="auto"/>
            <w:tcMar>
              <w:top w:w="80" w:type="dxa"/>
              <w:left w:w="100" w:type="dxa"/>
              <w:bottom w:w="80" w:type="dxa"/>
              <w:right w:w="100" w:type="dxa"/>
            </w:tcMar>
            <w:vAlign w:val="center"/>
          </w:tcPr>
          <w:p w14:paraId="3ECC1B72">
            <w:pPr>
              <w:pStyle w:val="style0"/>
              <w:spacing w:lineRule="auto" w:line="420"/>
              <w:rPr>
                <w:rFonts w:ascii="RobotoStatic" w:cs="Zawgyi-One" w:hAnsi="Source Sans Pro"/>
              </w:rPr>
            </w:pPr>
            <w:r>
              <w:rPr>
                <w:rFonts w:ascii="RobotoStatic" w:cs="Zawgyi-One" w:hAnsi="Source Sans Pro"/>
                <w:sz w:val="18"/>
                <w:szCs w:val="18"/>
              </w:rPr>
              <w:t>I</w:t>
            </w:r>
          </w:p>
        </w:tc>
        <w:tc>
          <w:tcPr>
            <w:tcW w:w="660" w:type="dxa"/>
            <w:tcBorders/>
            <w:shd w:val="clear" w:color="auto" w:fill="auto"/>
            <w:tcMar>
              <w:top w:w="80" w:type="dxa"/>
              <w:left w:w="100" w:type="dxa"/>
              <w:bottom w:w="80" w:type="dxa"/>
              <w:right w:w="100" w:type="dxa"/>
            </w:tcMar>
            <w:vAlign w:val="center"/>
          </w:tcPr>
          <w:p w14:paraId="93A48A90">
            <w:pPr>
              <w:pStyle w:val="style0"/>
              <w:spacing w:lineRule="auto" w:line="420"/>
              <w:rPr>
                <w:rFonts w:ascii="RobotoStatic" w:cs="Zawgyi-One" w:hAnsi="Source Sans Pro"/>
              </w:rPr>
            </w:pPr>
            <w:r>
              <w:rPr>
                <w:rFonts w:ascii="RobotoStatic" w:cs="Zawgyi-One" w:hAnsi="Source Sans Pro"/>
                <w:sz w:val="18"/>
                <w:szCs w:val="18"/>
              </w:rPr>
              <w:t>A</w:t>
            </w:r>
          </w:p>
        </w:tc>
        <w:tc>
          <w:tcPr>
            <w:tcW w:w="660" w:type="dxa"/>
            <w:tcBorders/>
            <w:shd w:val="clear" w:color="auto" w:fill="auto"/>
            <w:tcMar>
              <w:top w:w="80" w:type="dxa"/>
              <w:left w:w="100" w:type="dxa"/>
              <w:bottom w:w="80" w:type="dxa"/>
              <w:right w:w="100" w:type="dxa"/>
            </w:tcMar>
            <w:vAlign w:val="center"/>
          </w:tcPr>
          <w:p w14:paraId="F320509C">
            <w:pPr>
              <w:pStyle w:val="style0"/>
              <w:spacing w:lineRule="auto" w:line="420"/>
              <w:rPr>
                <w:rFonts w:ascii="RobotoStatic" w:cs="Zawgyi-One" w:hAnsi="Source Sans Pro"/>
              </w:rPr>
            </w:pPr>
            <w:r>
              <w:rPr>
                <w:rFonts w:ascii="RobotoStatic" w:cs="Zawgyi-One" w:hAnsi="Source Sans Pro"/>
                <w:sz w:val="18"/>
                <w:szCs w:val="18"/>
              </w:rPr>
              <w:t>R</w:t>
            </w:r>
          </w:p>
        </w:tc>
        <w:tc>
          <w:tcPr>
            <w:tcW w:w="660" w:type="dxa"/>
            <w:tcBorders/>
            <w:shd w:val="clear" w:color="auto" w:fill="auto"/>
            <w:tcMar>
              <w:top w:w="80" w:type="dxa"/>
              <w:left w:w="100" w:type="dxa"/>
              <w:bottom w:w="80" w:type="dxa"/>
              <w:right w:w="100" w:type="dxa"/>
            </w:tcMar>
            <w:vAlign w:val="center"/>
          </w:tcPr>
          <w:p w14:paraId="360718E2">
            <w:pPr>
              <w:pStyle w:val="style0"/>
              <w:spacing w:lineRule="auto" w:line="420"/>
              <w:rPr>
                <w:rFonts w:ascii="RobotoStatic" w:cs="Zawgyi-One" w:hAnsi="Source Sans Pro"/>
              </w:rPr>
            </w:pPr>
            <w:r>
              <w:rPr>
                <w:rFonts w:ascii="RobotoStatic" w:cs="Zawgyi-One" w:hAnsi="Source Sans Pro"/>
                <w:sz w:val="18"/>
                <w:szCs w:val="18"/>
              </w:rPr>
              <w:t>C</w:t>
            </w:r>
          </w:p>
        </w:tc>
        <w:tc>
          <w:tcPr>
            <w:tcW w:w="640" w:type="dxa"/>
            <w:tcBorders/>
            <w:shd w:val="clear" w:color="auto" w:fill="auto"/>
            <w:tcMar>
              <w:top w:w="80" w:type="dxa"/>
              <w:left w:w="100" w:type="dxa"/>
              <w:bottom w:w="80" w:type="dxa"/>
              <w:right w:w="100" w:type="dxa"/>
            </w:tcMar>
            <w:vAlign w:val="center"/>
          </w:tcPr>
          <w:p w14:paraId="5E66AE9D">
            <w:pPr>
              <w:pStyle w:val="style0"/>
              <w:spacing w:lineRule="auto" w:line="420"/>
              <w:rPr>
                <w:rFonts w:ascii="RobotoStatic" w:cs="Zawgyi-One" w:hAnsi="Source Sans Pro"/>
              </w:rPr>
            </w:pPr>
            <w:r>
              <w:rPr>
                <w:rFonts w:ascii="RobotoStatic" w:cs="Zawgyi-One" w:hAnsi="Source Sans Pro"/>
                <w:sz w:val="18"/>
                <w:szCs w:val="18"/>
              </w:rPr>
              <w:t>C</w:t>
            </w:r>
          </w:p>
        </w:tc>
        <w:tc>
          <w:tcPr>
            <w:tcW w:w="660" w:type="dxa"/>
            <w:tcBorders/>
            <w:shd w:val="clear" w:color="auto" w:fill="auto"/>
            <w:tcMar>
              <w:top w:w="80" w:type="dxa"/>
              <w:left w:w="100" w:type="dxa"/>
              <w:bottom w:w="80" w:type="dxa"/>
              <w:right w:w="100" w:type="dxa"/>
            </w:tcMar>
            <w:vAlign w:val="center"/>
          </w:tcPr>
          <w:p w14:paraId="63A28F9F">
            <w:pPr>
              <w:pStyle w:val="style0"/>
              <w:spacing w:lineRule="auto" w:line="420"/>
              <w:rPr>
                <w:rFonts w:ascii="RobotoStatic" w:cs="Zawgyi-One" w:hAnsi="Source Sans Pro"/>
              </w:rPr>
            </w:pPr>
            <w:r>
              <w:rPr>
                <w:rFonts w:ascii="RobotoStatic" w:cs="Zawgyi-One" w:hAnsi="Source Sans Pro"/>
                <w:sz w:val="18"/>
                <w:szCs w:val="18"/>
              </w:rPr>
              <w:t>I</w:t>
            </w:r>
          </w:p>
        </w:tc>
        <w:tc>
          <w:tcPr>
            <w:tcW w:w="620" w:type="dxa"/>
            <w:tcBorders/>
            <w:shd w:val="clear" w:color="auto" w:fill="auto"/>
            <w:tcMar>
              <w:top w:w="80" w:type="dxa"/>
              <w:left w:w="100" w:type="dxa"/>
              <w:bottom w:w="80" w:type="dxa"/>
              <w:right w:w="100" w:type="dxa"/>
            </w:tcMar>
            <w:vAlign w:val="center"/>
          </w:tcPr>
          <w:p w14:paraId="EE437653">
            <w:pPr>
              <w:pStyle w:val="style0"/>
              <w:spacing w:lineRule="auto" w:line="420"/>
              <w:rPr>
                <w:rFonts w:ascii="RobotoStatic" w:cs="Zawgyi-One" w:hAnsi="Source Sans Pro"/>
              </w:rPr>
            </w:pPr>
            <w:r>
              <w:rPr>
                <w:rFonts w:ascii="RobotoStatic" w:cs="Zawgyi-One" w:hAnsi="Source Sans Pro"/>
                <w:sz w:val="18"/>
                <w:szCs w:val="18"/>
              </w:rPr>
              <w:t>I</w:t>
            </w:r>
          </w:p>
        </w:tc>
        <w:tc>
          <w:tcPr>
            <w:tcW w:w="620" w:type="dxa"/>
            <w:tcBorders/>
            <w:shd w:val="clear" w:color="auto" w:fill="auto"/>
            <w:tcMar>
              <w:top w:w="80" w:type="dxa"/>
              <w:left w:w="100" w:type="dxa"/>
              <w:bottom w:w="80" w:type="dxa"/>
              <w:right w:w="100" w:type="dxa"/>
            </w:tcMar>
            <w:vAlign w:val="center"/>
          </w:tcPr>
          <w:p w14:paraId="69B5A1D5">
            <w:pPr>
              <w:pStyle w:val="style0"/>
              <w:spacing w:lineRule="auto" w:line="420"/>
              <w:rPr>
                <w:rFonts w:ascii="RobotoStatic" w:cs="Zawgyi-One" w:hAnsi="Source Sans Pro"/>
              </w:rPr>
            </w:pPr>
            <w:r>
              <w:rPr>
                <w:rFonts w:ascii="RobotoStatic" w:cs="Zawgyi-One" w:hAnsi="Source Sans Pro"/>
                <w:sz w:val="18"/>
                <w:szCs w:val="18"/>
              </w:rPr>
              <w:t>C</w:t>
            </w:r>
          </w:p>
        </w:tc>
        <w:tc>
          <w:tcPr>
            <w:tcW w:w="640" w:type="dxa"/>
            <w:tcBorders/>
            <w:shd w:val="clear" w:color="auto" w:fill="auto"/>
            <w:tcMar>
              <w:top w:w="80" w:type="dxa"/>
              <w:left w:w="100" w:type="dxa"/>
              <w:bottom w:w="80" w:type="dxa"/>
              <w:right w:w="100" w:type="dxa"/>
            </w:tcMar>
            <w:vAlign w:val="center"/>
          </w:tcPr>
          <w:p w14:paraId="9C7B80BC">
            <w:pPr>
              <w:pStyle w:val="style0"/>
              <w:spacing w:lineRule="auto" w:line="420"/>
              <w:rPr>
                <w:rFonts w:ascii="RobotoStatic" w:cs="Zawgyi-One" w:hAnsi="Source Sans Pro"/>
              </w:rPr>
            </w:pPr>
            <w:r>
              <w:rPr>
                <w:rFonts w:ascii="RobotoStatic" w:cs="Zawgyi-One" w:hAnsi="Source Sans Pro"/>
                <w:sz w:val="18"/>
                <w:szCs w:val="18"/>
              </w:rPr>
              <w:t>I</w:t>
            </w:r>
          </w:p>
        </w:tc>
      </w:tr>
      <w:tr w14:paraId="6F9183FE">
        <w:tblPrEx/>
        <w:trPr/>
        <w:tc>
          <w:tcPr>
            <w:tcW w:w="2560" w:type="dxa"/>
            <w:tcBorders/>
            <w:shd w:val="clear" w:color="auto" w:fill="auto"/>
            <w:tcMar>
              <w:top w:w="80" w:type="dxa"/>
              <w:left w:w="100" w:type="dxa"/>
              <w:bottom w:w="80" w:type="dxa"/>
              <w:right w:w="100" w:type="dxa"/>
            </w:tcMar>
            <w:vAlign w:val="center"/>
          </w:tcPr>
          <w:p w14:paraId="833C8257">
            <w:pPr>
              <w:pStyle w:val="style0"/>
              <w:spacing w:lineRule="auto" w:line="420"/>
              <w:rPr>
                <w:rFonts w:ascii="RobotoStatic" w:cs="Zawgyi-One" w:hAnsi="Source Sans Pro"/>
              </w:rPr>
            </w:pPr>
            <w:r>
              <w:rPr>
                <w:rFonts w:ascii="RobotoStatic" w:cs="Zawgyi-One" w:hAnsi="Source Sans Pro"/>
                <w:sz w:val="18"/>
                <w:szCs w:val="18"/>
              </w:rPr>
              <w:t>Enterprise cyber-risk assessment</w:t>
            </w:r>
          </w:p>
        </w:tc>
        <w:tc>
          <w:tcPr>
            <w:tcW w:w="700" w:type="dxa"/>
            <w:tcBorders/>
            <w:shd w:val="clear" w:color="auto" w:fill="auto"/>
            <w:tcMar>
              <w:top w:w="80" w:type="dxa"/>
              <w:left w:w="100" w:type="dxa"/>
              <w:bottom w:w="80" w:type="dxa"/>
              <w:right w:w="100" w:type="dxa"/>
            </w:tcMar>
            <w:vAlign w:val="center"/>
          </w:tcPr>
          <w:p w14:paraId="04FC1944">
            <w:pPr>
              <w:pStyle w:val="style0"/>
              <w:spacing w:lineRule="auto" w:line="420"/>
              <w:rPr>
                <w:rFonts w:ascii="RobotoStatic" w:cs="Zawgyi-One" w:hAnsi="Source Sans Pro"/>
              </w:rPr>
            </w:pPr>
            <w:r>
              <w:rPr>
                <w:rFonts w:ascii="RobotoStatic" w:cs="Zawgyi-One" w:hAnsi="Source Sans Pro"/>
                <w:sz w:val="18"/>
                <w:szCs w:val="18"/>
              </w:rPr>
              <w:t>I</w:t>
            </w:r>
          </w:p>
        </w:tc>
        <w:tc>
          <w:tcPr>
            <w:tcW w:w="660" w:type="dxa"/>
            <w:tcBorders/>
            <w:shd w:val="clear" w:color="auto" w:fill="auto"/>
            <w:tcMar>
              <w:top w:w="80" w:type="dxa"/>
              <w:left w:w="100" w:type="dxa"/>
              <w:bottom w:w="80" w:type="dxa"/>
              <w:right w:w="100" w:type="dxa"/>
            </w:tcMar>
            <w:vAlign w:val="center"/>
          </w:tcPr>
          <w:p w14:paraId="DFDE77F4">
            <w:pPr>
              <w:pStyle w:val="style0"/>
              <w:spacing w:lineRule="auto" w:line="420"/>
              <w:rPr>
                <w:rFonts w:ascii="RobotoStatic" w:cs="Zawgyi-One" w:hAnsi="Source Sans Pro"/>
              </w:rPr>
            </w:pPr>
            <w:r>
              <w:rPr>
                <w:rFonts w:ascii="RobotoStatic" w:cs="Zawgyi-One" w:hAnsi="Source Sans Pro"/>
                <w:sz w:val="18"/>
                <w:szCs w:val="18"/>
              </w:rPr>
              <w:t>I</w:t>
            </w:r>
          </w:p>
        </w:tc>
        <w:tc>
          <w:tcPr>
            <w:tcW w:w="660" w:type="dxa"/>
            <w:tcBorders/>
            <w:shd w:val="clear" w:color="auto" w:fill="auto"/>
            <w:tcMar>
              <w:top w:w="80" w:type="dxa"/>
              <w:left w:w="100" w:type="dxa"/>
              <w:bottom w:w="80" w:type="dxa"/>
              <w:right w:w="100" w:type="dxa"/>
            </w:tcMar>
            <w:vAlign w:val="center"/>
          </w:tcPr>
          <w:p w14:paraId="18E41590">
            <w:pPr>
              <w:pStyle w:val="style0"/>
              <w:spacing w:lineRule="auto" w:line="420"/>
              <w:rPr>
                <w:rFonts w:ascii="RobotoStatic" w:cs="Zawgyi-One" w:hAnsi="Source Sans Pro"/>
              </w:rPr>
            </w:pPr>
            <w:r>
              <w:rPr>
                <w:rFonts w:ascii="RobotoStatic" w:cs="Zawgyi-One" w:hAnsi="Source Sans Pro"/>
                <w:sz w:val="18"/>
                <w:szCs w:val="18"/>
              </w:rPr>
              <w:t>R</w:t>
            </w:r>
          </w:p>
        </w:tc>
        <w:tc>
          <w:tcPr>
            <w:tcW w:w="660" w:type="dxa"/>
            <w:tcBorders/>
            <w:shd w:val="clear" w:color="auto" w:fill="auto"/>
            <w:tcMar>
              <w:top w:w="80" w:type="dxa"/>
              <w:left w:w="100" w:type="dxa"/>
              <w:bottom w:w="80" w:type="dxa"/>
              <w:right w:w="100" w:type="dxa"/>
            </w:tcMar>
            <w:vAlign w:val="center"/>
          </w:tcPr>
          <w:p w14:paraId="D67AFEDB">
            <w:pPr>
              <w:pStyle w:val="style0"/>
              <w:spacing w:lineRule="auto" w:line="420"/>
              <w:rPr>
                <w:rFonts w:ascii="RobotoStatic" w:cs="Zawgyi-One" w:hAnsi="Source Sans Pro"/>
              </w:rPr>
            </w:pPr>
            <w:r>
              <w:rPr>
                <w:rFonts w:ascii="RobotoStatic" w:cs="Zawgyi-One" w:hAnsi="Source Sans Pro"/>
                <w:sz w:val="18"/>
                <w:szCs w:val="18"/>
              </w:rPr>
              <w:t>A</w:t>
            </w:r>
          </w:p>
        </w:tc>
        <w:tc>
          <w:tcPr>
            <w:tcW w:w="640" w:type="dxa"/>
            <w:tcBorders/>
            <w:shd w:val="clear" w:color="auto" w:fill="auto"/>
            <w:tcMar>
              <w:top w:w="80" w:type="dxa"/>
              <w:left w:w="100" w:type="dxa"/>
              <w:bottom w:w="80" w:type="dxa"/>
              <w:right w:w="100" w:type="dxa"/>
            </w:tcMar>
            <w:vAlign w:val="center"/>
          </w:tcPr>
          <w:p w14:paraId="05F9F7F7">
            <w:pPr>
              <w:pStyle w:val="style0"/>
              <w:spacing w:lineRule="auto" w:line="420"/>
              <w:rPr>
                <w:rFonts w:ascii="RobotoStatic" w:cs="Zawgyi-One" w:hAnsi="Source Sans Pro"/>
              </w:rPr>
            </w:pPr>
            <w:r>
              <w:rPr>
                <w:rFonts w:ascii="RobotoStatic" w:cs="Zawgyi-One" w:hAnsi="Source Sans Pro"/>
                <w:sz w:val="18"/>
                <w:szCs w:val="18"/>
              </w:rPr>
              <w:t>C</w:t>
            </w:r>
          </w:p>
        </w:tc>
        <w:tc>
          <w:tcPr>
            <w:tcW w:w="660" w:type="dxa"/>
            <w:tcBorders/>
            <w:shd w:val="clear" w:color="auto" w:fill="auto"/>
            <w:tcMar>
              <w:top w:w="80" w:type="dxa"/>
              <w:left w:w="100" w:type="dxa"/>
              <w:bottom w:w="80" w:type="dxa"/>
              <w:right w:w="100" w:type="dxa"/>
            </w:tcMar>
            <w:vAlign w:val="center"/>
          </w:tcPr>
          <w:p w14:paraId="B634C096">
            <w:pPr>
              <w:pStyle w:val="style0"/>
              <w:spacing w:lineRule="auto" w:line="420"/>
              <w:rPr>
                <w:rFonts w:ascii="RobotoStatic" w:cs="Zawgyi-One" w:hAnsi="Source Sans Pro"/>
              </w:rPr>
            </w:pPr>
            <w:r>
              <w:rPr>
                <w:rFonts w:ascii="RobotoStatic" w:cs="Zawgyi-One" w:hAnsi="Source Sans Pro"/>
                <w:sz w:val="18"/>
                <w:szCs w:val="18"/>
              </w:rPr>
              <w:t>I</w:t>
            </w:r>
          </w:p>
        </w:tc>
        <w:tc>
          <w:tcPr>
            <w:tcW w:w="620" w:type="dxa"/>
            <w:tcBorders/>
            <w:shd w:val="clear" w:color="auto" w:fill="auto"/>
            <w:tcMar>
              <w:top w:w="80" w:type="dxa"/>
              <w:left w:w="100" w:type="dxa"/>
              <w:bottom w:w="80" w:type="dxa"/>
              <w:right w:w="100" w:type="dxa"/>
            </w:tcMar>
            <w:vAlign w:val="center"/>
          </w:tcPr>
          <w:p w14:paraId="B53171F0">
            <w:pPr>
              <w:pStyle w:val="style0"/>
              <w:spacing w:lineRule="auto" w:line="420"/>
              <w:rPr>
                <w:rFonts w:ascii="RobotoStatic" w:cs="Zawgyi-One" w:hAnsi="Source Sans Pro"/>
              </w:rPr>
            </w:pPr>
            <w:r>
              <w:rPr>
                <w:rFonts w:ascii="RobotoStatic" w:cs="Zawgyi-One" w:hAnsi="Source Sans Pro"/>
                <w:sz w:val="18"/>
                <w:szCs w:val="18"/>
              </w:rPr>
              <w:t>I</w:t>
            </w:r>
          </w:p>
        </w:tc>
        <w:tc>
          <w:tcPr>
            <w:tcW w:w="620" w:type="dxa"/>
            <w:tcBorders/>
            <w:shd w:val="clear" w:color="auto" w:fill="auto"/>
            <w:tcMar>
              <w:top w:w="80" w:type="dxa"/>
              <w:left w:w="100" w:type="dxa"/>
              <w:bottom w:w="80" w:type="dxa"/>
              <w:right w:w="100" w:type="dxa"/>
            </w:tcMar>
            <w:vAlign w:val="center"/>
          </w:tcPr>
          <w:p w14:paraId="A4207692">
            <w:pPr>
              <w:pStyle w:val="style0"/>
              <w:spacing w:lineRule="auto" w:line="420"/>
              <w:rPr>
                <w:rFonts w:ascii="RobotoStatic" w:cs="Zawgyi-One" w:hAnsi="Source Sans Pro"/>
              </w:rPr>
            </w:pPr>
            <w:r>
              <w:rPr>
                <w:rFonts w:ascii="RobotoStatic" w:cs="Zawgyi-One" w:hAnsi="Source Sans Pro"/>
                <w:sz w:val="18"/>
                <w:szCs w:val="18"/>
              </w:rPr>
              <w:t>C</w:t>
            </w:r>
          </w:p>
        </w:tc>
        <w:tc>
          <w:tcPr>
            <w:tcW w:w="640" w:type="dxa"/>
            <w:tcBorders/>
            <w:shd w:val="clear" w:color="auto" w:fill="auto"/>
            <w:tcMar>
              <w:top w:w="80" w:type="dxa"/>
              <w:left w:w="100" w:type="dxa"/>
              <w:bottom w:w="80" w:type="dxa"/>
              <w:right w:w="100" w:type="dxa"/>
            </w:tcMar>
            <w:vAlign w:val="center"/>
          </w:tcPr>
          <w:p w14:paraId="7E7C2F08">
            <w:pPr>
              <w:pStyle w:val="style0"/>
              <w:spacing w:lineRule="auto" w:line="420"/>
              <w:rPr>
                <w:rFonts w:ascii="RobotoStatic" w:cs="Zawgyi-One" w:hAnsi="Source Sans Pro"/>
              </w:rPr>
            </w:pPr>
            <w:r>
              <w:rPr>
                <w:rFonts w:ascii="RobotoStatic" w:cs="Zawgyi-One" w:hAnsi="Source Sans Pro"/>
                <w:sz w:val="18"/>
                <w:szCs w:val="18"/>
              </w:rPr>
              <w:t>C</w:t>
            </w:r>
          </w:p>
        </w:tc>
      </w:tr>
      <w:tr w14:paraId="CD523DC2">
        <w:tblPrEx/>
        <w:trPr/>
        <w:tc>
          <w:tcPr>
            <w:tcW w:w="2560" w:type="dxa"/>
            <w:tcBorders/>
            <w:shd w:val="clear" w:color="auto" w:fill="auto"/>
            <w:tcMar>
              <w:top w:w="80" w:type="dxa"/>
              <w:left w:w="100" w:type="dxa"/>
              <w:bottom w:w="80" w:type="dxa"/>
              <w:right w:w="100" w:type="dxa"/>
            </w:tcMar>
            <w:vAlign w:val="center"/>
          </w:tcPr>
          <w:p w14:paraId="DF4B519F">
            <w:pPr>
              <w:pStyle w:val="style0"/>
              <w:spacing w:lineRule="auto" w:line="420"/>
              <w:rPr>
                <w:rFonts w:ascii="RobotoStatic" w:cs="Zawgyi-One" w:hAnsi="Source Sans Pro"/>
              </w:rPr>
            </w:pPr>
            <w:r>
              <w:rPr>
                <w:rFonts w:ascii="RobotoStatic" w:cs="Zawgyi-One" w:hAnsi="Source Sans Pro"/>
                <w:sz w:val="18"/>
                <w:szCs w:val="18"/>
              </w:rPr>
              <w:t>Risk acceptance</w:t>
            </w:r>
          </w:p>
        </w:tc>
        <w:tc>
          <w:tcPr>
            <w:tcW w:w="700" w:type="dxa"/>
            <w:tcBorders/>
            <w:shd w:val="clear" w:color="auto" w:fill="auto"/>
            <w:tcMar>
              <w:top w:w="80" w:type="dxa"/>
              <w:left w:w="100" w:type="dxa"/>
              <w:bottom w:w="80" w:type="dxa"/>
              <w:right w:w="100" w:type="dxa"/>
            </w:tcMar>
            <w:vAlign w:val="center"/>
          </w:tcPr>
          <w:p w14:paraId="2E568C0D">
            <w:pPr>
              <w:pStyle w:val="style0"/>
              <w:spacing w:lineRule="auto" w:line="420"/>
              <w:rPr>
                <w:rFonts w:ascii="RobotoStatic" w:cs="Zawgyi-One" w:hAnsi="Source Sans Pro"/>
              </w:rPr>
            </w:pPr>
            <w:r>
              <w:rPr>
                <w:rFonts w:ascii="RobotoStatic" w:cs="Zawgyi-One" w:hAnsi="Source Sans Pro"/>
                <w:sz w:val="18"/>
                <w:szCs w:val="18"/>
              </w:rPr>
              <w:t>I</w:t>
            </w:r>
          </w:p>
        </w:tc>
        <w:tc>
          <w:tcPr>
            <w:tcW w:w="660" w:type="dxa"/>
            <w:tcBorders/>
            <w:shd w:val="clear" w:color="auto" w:fill="auto"/>
            <w:tcMar>
              <w:top w:w="80" w:type="dxa"/>
              <w:left w:w="100" w:type="dxa"/>
              <w:bottom w:w="80" w:type="dxa"/>
              <w:right w:w="100" w:type="dxa"/>
            </w:tcMar>
            <w:vAlign w:val="center"/>
          </w:tcPr>
          <w:p w14:paraId="43BE51D3">
            <w:pPr>
              <w:pStyle w:val="style0"/>
              <w:spacing w:lineRule="auto" w:line="420"/>
              <w:rPr>
                <w:rFonts w:ascii="RobotoStatic" w:cs="Zawgyi-One" w:hAnsi="Source Sans Pro"/>
              </w:rPr>
            </w:pPr>
            <w:r>
              <w:rPr>
                <w:rFonts w:ascii="RobotoStatic" w:cs="Zawgyi-One" w:hAnsi="Source Sans Pro"/>
                <w:sz w:val="18"/>
                <w:szCs w:val="18"/>
              </w:rPr>
              <w:t>I</w:t>
            </w:r>
          </w:p>
        </w:tc>
        <w:tc>
          <w:tcPr>
            <w:tcW w:w="660" w:type="dxa"/>
            <w:tcBorders/>
            <w:shd w:val="clear" w:color="auto" w:fill="auto"/>
            <w:tcMar>
              <w:top w:w="80" w:type="dxa"/>
              <w:left w:w="100" w:type="dxa"/>
              <w:bottom w:w="80" w:type="dxa"/>
              <w:right w:w="100" w:type="dxa"/>
            </w:tcMar>
            <w:vAlign w:val="center"/>
          </w:tcPr>
          <w:p w14:paraId="FC00AFB9">
            <w:pPr>
              <w:pStyle w:val="style0"/>
              <w:spacing w:lineRule="auto" w:line="420"/>
              <w:rPr>
                <w:rFonts w:ascii="RobotoStatic" w:cs="Zawgyi-One" w:hAnsi="Source Sans Pro"/>
              </w:rPr>
            </w:pPr>
            <w:r>
              <w:rPr>
                <w:rFonts w:ascii="RobotoStatic" w:cs="Zawgyi-One" w:hAnsi="Source Sans Pro"/>
                <w:sz w:val="18"/>
                <w:szCs w:val="18"/>
              </w:rPr>
              <w:t>R</w:t>
            </w:r>
          </w:p>
        </w:tc>
        <w:tc>
          <w:tcPr>
            <w:tcW w:w="660" w:type="dxa"/>
            <w:tcBorders/>
            <w:shd w:val="clear" w:color="auto" w:fill="auto"/>
            <w:tcMar>
              <w:top w:w="80" w:type="dxa"/>
              <w:left w:w="100" w:type="dxa"/>
              <w:bottom w:w="80" w:type="dxa"/>
              <w:right w:w="100" w:type="dxa"/>
            </w:tcMar>
            <w:vAlign w:val="center"/>
          </w:tcPr>
          <w:p w14:paraId="11569756">
            <w:pPr>
              <w:pStyle w:val="style0"/>
              <w:spacing w:lineRule="auto" w:line="420"/>
              <w:rPr>
                <w:rFonts w:ascii="RobotoStatic" w:cs="Zawgyi-One" w:hAnsi="Source Sans Pro"/>
              </w:rPr>
            </w:pPr>
            <w:r>
              <w:rPr>
                <w:rFonts w:ascii="RobotoStatic" w:cs="Zawgyi-One" w:hAnsi="Source Sans Pro"/>
                <w:sz w:val="18"/>
                <w:szCs w:val="18"/>
              </w:rPr>
              <w:t>A</w:t>
            </w:r>
          </w:p>
        </w:tc>
        <w:tc>
          <w:tcPr>
            <w:tcW w:w="640" w:type="dxa"/>
            <w:tcBorders/>
            <w:shd w:val="clear" w:color="auto" w:fill="auto"/>
            <w:tcMar>
              <w:top w:w="80" w:type="dxa"/>
              <w:left w:w="100" w:type="dxa"/>
              <w:bottom w:w="80" w:type="dxa"/>
              <w:right w:w="100" w:type="dxa"/>
            </w:tcMar>
            <w:vAlign w:val="center"/>
          </w:tcPr>
          <w:p w14:paraId="00640387">
            <w:pPr>
              <w:pStyle w:val="style0"/>
              <w:spacing w:lineRule="auto" w:line="420"/>
              <w:rPr>
                <w:rFonts w:ascii="RobotoStatic" w:cs="Zawgyi-One" w:hAnsi="Source Sans Pro"/>
              </w:rPr>
            </w:pPr>
            <w:r>
              <w:rPr>
                <w:rFonts w:ascii="RobotoStatic" w:cs="Zawgyi-One" w:hAnsi="Source Sans Pro"/>
                <w:sz w:val="18"/>
                <w:szCs w:val="18"/>
              </w:rPr>
              <w:t>C</w:t>
            </w:r>
          </w:p>
        </w:tc>
        <w:tc>
          <w:tcPr>
            <w:tcW w:w="660" w:type="dxa"/>
            <w:tcBorders/>
            <w:shd w:val="clear" w:color="auto" w:fill="auto"/>
            <w:tcMar>
              <w:top w:w="80" w:type="dxa"/>
              <w:left w:w="100" w:type="dxa"/>
              <w:bottom w:w="80" w:type="dxa"/>
              <w:right w:w="100" w:type="dxa"/>
            </w:tcMar>
            <w:vAlign w:val="center"/>
          </w:tcPr>
          <w:p w14:paraId="356F84A7">
            <w:pPr>
              <w:pStyle w:val="style0"/>
              <w:spacing w:lineRule="auto" w:line="420"/>
              <w:rPr>
                <w:rFonts w:ascii="RobotoStatic" w:cs="Zawgyi-One" w:hAnsi="Source Sans Pro"/>
              </w:rPr>
            </w:pPr>
            <w:r>
              <w:rPr>
                <w:rFonts w:ascii="RobotoStatic" w:cs="Zawgyi-One" w:hAnsi="Source Sans Pro"/>
                <w:sz w:val="18"/>
                <w:szCs w:val="18"/>
              </w:rPr>
              <w:t>C</w:t>
            </w:r>
          </w:p>
        </w:tc>
        <w:tc>
          <w:tcPr>
            <w:tcW w:w="620" w:type="dxa"/>
            <w:tcBorders/>
            <w:shd w:val="clear" w:color="auto" w:fill="auto"/>
            <w:tcMar>
              <w:top w:w="80" w:type="dxa"/>
              <w:left w:w="100" w:type="dxa"/>
              <w:bottom w:w="80" w:type="dxa"/>
              <w:right w:w="100" w:type="dxa"/>
            </w:tcMar>
            <w:vAlign w:val="center"/>
          </w:tcPr>
          <w:p w14:paraId="114AEAA5">
            <w:pPr>
              <w:pStyle w:val="style0"/>
              <w:spacing w:lineRule="auto" w:line="420"/>
              <w:rPr>
                <w:rFonts w:ascii="RobotoStatic" w:cs="Zawgyi-One" w:hAnsi="Source Sans Pro"/>
              </w:rPr>
            </w:pPr>
            <w:r>
              <w:rPr>
                <w:rFonts w:ascii="RobotoStatic" w:cs="Zawgyi-One" w:hAnsi="Source Sans Pro"/>
                <w:sz w:val="18"/>
                <w:szCs w:val="18"/>
              </w:rPr>
              <w:t>I</w:t>
            </w:r>
          </w:p>
        </w:tc>
        <w:tc>
          <w:tcPr>
            <w:tcW w:w="620" w:type="dxa"/>
            <w:tcBorders/>
            <w:shd w:val="clear" w:color="auto" w:fill="auto"/>
            <w:tcMar>
              <w:top w:w="80" w:type="dxa"/>
              <w:left w:w="100" w:type="dxa"/>
              <w:bottom w:w="80" w:type="dxa"/>
              <w:right w:w="100" w:type="dxa"/>
            </w:tcMar>
            <w:vAlign w:val="center"/>
          </w:tcPr>
          <w:p w14:paraId="C70FDD93">
            <w:pPr>
              <w:pStyle w:val="style0"/>
              <w:spacing w:lineRule="auto" w:line="420"/>
              <w:rPr>
                <w:rFonts w:ascii="RobotoStatic" w:cs="Zawgyi-One" w:hAnsi="Source Sans Pro"/>
              </w:rPr>
            </w:pPr>
            <w:r>
              <w:rPr>
                <w:rFonts w:ascii="RobotoStatic" w:cs="Zawgyi-One" w:hAnsi="Source Sans Pro"/>
                <w:sz w:val="18"/>
                <w:szCs w:val="18"/>
              </w:rPr>
              <w:t>I</w:t>
            </w:r>
          </w:p>
        </w:tc>
        <w:tc>
          <w:tcPr>
            <w:tcW w:w="640" w:type="dxa"/>
            <w:tcBorders/>
            <w:shd w:val="clear" w:color="auto" w:fill="auto"/>
            <w:tcMar>
              <w:top w:w="80" w:type="dxa"/>
              <w:left w:w="100" w:type="dxa"/>
              <w:bottom w:w="80" w:type="dxa"/>
              <w:right w:w="100" w:type="dxa"/>
            </w:tcMar>
            <w:vAlign w:val="center"/>
          </w:tcPr>
          <w:p w14:paraId="0A7E0C05">
            <w:pPr>
              <w:pStyle w:val="style0"/>
              <w:spacing w:lineRule="auto" w:line="420"/>
              <w:rPr>
                <w:rFonts w:ascii="RobotoStatic" w:cs="Zawgyi-One" w:hAnsi="Source Sans Pro"/>
              </w:rPr>
            </w:pPr>
            <w:r>
              <w:rPr>
                <w:rFonts w:ascii="RobotoStatic" w:cs="Zawgyi-One" w:hAnsi="Source Sans Pro"/>
                <w:sz w:val="18"/>
                <w:szCs w:val="18"/>
              </w:rPr>
              <w:t>C</w:t>
            </w:r>
          </w:p>
        </w:tc>
      </w:tr>
      <w:tr w14:paraId="764BCE28">
        <w:tblPrEx/>
        <w:trPr/>
        <w:tc>
          <w:tcPr>
            <w:tcW w:w="2560" w:type="dxa"/>
            <w:tcBorders/>
            <w:shd w:val="clear" w:color="auto" w:fill="auto"/>
            <w:tcMar>
              <w:top w:w="80" w:type="dxa"/>
              <w:left w:w="100" w:type="dxa"/>
              <w:bottom w:w="80" w:type="dxa"/>
              <w:right w:w="100" w:type="dxa"/>
            </w:tcMar>
            <w:vAlign w:val="center"/>
          </w:tcPr>
          <w:p w14:paraId="CA79249B">
            <w:pPr>
              <w:pStyle w:val="style0"/>
              <w:spacing w:lineRule="auto" w:line="420"/>
              <w:rPr>
                <w:rFonts w:ascii="RobotoStatic" w:cs="Zawgyi-One" w:hAnsi="Source Sans Pro"/>
              </w:rPr>
            </w:pPr>
            <w:r>
              <w:rPr>
                <w:rFonts w:ascii="RobotoStatic" w:cs="Zawgyi-One" w:hAnsi="Source Sans Pro"/>
                <w:sz w:val="18"/>
                <w:szCs w:val="18"/>
              </w:rPr>
              <w:t>Security budget approval</w:t>
            </w:r>
          </w:p>
        </w:tc>
        <w:tc>
          <w:tcPr>
            <w:tcW w:w="700" w:type="dxa"/>
            <w:tcBorders/>
            <w:shd w:val="clear" w:color="auto" w:fill="auto"/>
            <w:tcMar>
              <w:top w:w="80" w:type="dxa"/>
              <w:left w:w="100" w:type="dxa"/>
              <w:bottom w:w="80" w:type="dxa"/>
              <w:right w:w="100" w:type="dxa"/>
            </w:tcMar>
            <w:vAlign w:val="center"/>
          </w:tcPr>
          <w:p w14:paraId="A39DBA7D">
            <w:pPr>
              <w:pStyle w:val="style0"/>
              <w:spacing w:lineRule="auto" w:line="420"/>
              <w:rPr>
                <w:rFonts w:ascii="RobotoStatic" w:cs="Zawgyi-One" w:hAnsi="Source Sans Pro"/>
              </w:rPr>
            </w:pPr>
            <w:r>
              <w:rPr>
                <w:rFonts w:ascii="RobotoStatic" w:cs="Zawgyi-One" w:hAnsi="Source Sans Pro"/>
                <w:sz w:val="18"/>
                <w:szCs w:val="18"/>
              </w:rPr>
              <w:t>I</w:t>
            </w:r>
          </w:p>
        </w:tc>
        <w:tc>
          <w:tcPr>
            <w:tcW w:w="660" w:type="dxa"/>
            <w:tcBorders/>
            <w:shd w:val="clear" w:color="auto" w:fill="auto"/>
            <w:tcMar>
              <w:top w:w="80" w:type="dxa"/>
              <w:left w:w="100" w:type="dxa"/>
              <w:bottom w:w="80" w:type="dxa"/>
              <w:right w:w="100" w:type="dxa"/>
            </w:tcMar>
            <w:vAlign w:val="center"/>
          </w:tcPr>
          <w:p w14:paraId="B733E57E">
            <w:pPr>
              <w:pStyle w:val="style0"/>
              <w:spacing w:lineRule="auto" w:line="420"/>
              <w:rPr>
                <w:rFonts w:ascii="RobotoStatic" w:cs="Zawgyi-One" w:hAnsi="Source Sans Pro"/>
              </w:rPr>
            </w:pPr>
            <w:r>
              <w:rPr>
                <w:rFonts w:ascii="RobotoStatic" w:cs="Zawgyi-One" w:hAnsi="Source Sans Pro"/>
                <w:sz w:val="18"/>
                <w:szCs w:val="18"/>
              </w:rPr>
              <w:t>A</w:t>
            </w:r>
          </w:p>
        </w:tc>
        <w:tc>
          <w:tcPr>
            <w:tcW w:w="660" w:type="dxa"/>
            <w:tcBorders/>
            <w:shd w:val="clear" w:color="auto" w:fill="auto"/>
            <w:tcMar>
              <w:top w:w="80" w:type="dxa"/>
              <w:left w:w="100" w:type="dxa"/>
              <w:bottom w:w="80" w:type="dxa"/>
              <w:right w:w="100" w:type="dxa"/>
            </w:tcMar>
            <w:vAlign w:val="center"/>
          </w:tcPr>
          <w:p w14:paraId="AB7996BD">
            <w:pPr>
              <w:pStyle w:val="style0"/>
              <w:spacing w:lineRule="auto" w:line="420"/>
              <w:rPr>
                <w:rFonts w:ascii="RobotoStatic" w:cs="Zawgyi-One" w:hAnsi="Source Sans Pro"/>
              </w:rPr>
            </w:pPr>
            <w:r>
              <w:rPr>
                <w:rFonts w:ascii="RobotoStatic" w:cs="Zawgyi-One" w:hAnsi="Source Sans Pro"/>
                <w:sz w:val="18"/>
                <w:szCs w:val="18"/>
              </w:rPr>
              <w:t>C</w:t>
            </w:r>
          </w:p>
        </w:tc>
        <w:tc>
          <w:tcPr>
            <w:tcW w:w="660" w:type="dxa"/>
            <w:tcBorders/>
            <w:shd w:val="clear" w:color="auto" w:fill="auto"/>
            <w:tcMar>
              <w:top w:w="80" w:type="dxa"/>
              <w:left w:w="100" w:type="dxa"/>
              <w:bottom w:w="80" w:type="dxa"/>
              <w:right w:w="100" w:type="dxa"/>
            </w:tcMar>
            <w:vAlign w:val="center"/>
          </w:tcPr>
          <w:p w14:paraId="090BC12B">
            <w:pPr>
              <w:pStyle w:val="style0"/>
              <w:spacing w:lineRule="auto" w:line="420"/>
              <w:rPr>
                <w:rFonts w:ascii="RobotoStatic" w:cs="Zawgyi-One" w:hAnsi="Source Sans Pro"/>
              </w:rPr>
            </w:pPr>
            <w:r>
              <w:rPr>
                <w:rFonts w:ascii="RobotoStatic" w:cs="Zawgyi-One" w:hAnsi="Source Sans Pro"/>
                <w:sz w:val="18"/>
                <w:szCs w:val="18"/>
              </w:rPr>
              <w:t>C</w:t>
            </w:r>
          </w:p>
        </w:tc>
        <w:tc>
          <w:tcPr>
            <w:tcW w:w="640" w:type="dxa"/>
            <w:tcBorders/>
            <w:shd w:val="clear" w:color="auto" w:fill="auto"/>
            <w:tcMar>
              <w:top w:w="80" w:type="dxa"/>
              <w:left w:w="100" w:type="dxa"/>
              <w:bottom w:w="80" w:type="dxa"/>
              <w:right w:w="100" w:type="dxa"/>
            </w:tcMar>
            <w:vAlign w:val="center"/>
          </w:tcPr>
          <w:p w14:paraId="49B2E36E">
            <w:pPr>
              <w:pStyle w:val="style0"/>
              <w:spacing w:lineRule="auto" w:line="420"/>
              <w:rPr>
                <w:rFonts w:ascii="RobotoStatic" w:cs="Zawgyi-One" w:hAnsi="Source Sans Pro"/>
              </w:rPr>
            </w:pPr>
            <w:r>
              <w:rPr>
                <w:rFonts w:ascii="RobotoStatic" w:cs="Zawgyi-One" w:hAnsi="Source Sans Pro"/>
                <w:sz w:val="18"/>
                <w:szCs w:val="18"/>
              </w:rPr>
              <w:t>I</w:t>
            </w:r>
          </w:p>
        </w:tc>
        <w:tc>
          <w:tcPr>
            <w:tcW w:w="660" w:type="dxa"/>
            <w:tcBorders/>
            <w:shd w:val="clear" w:color="auto" w:fill="auto"/>
            <w:tcMar>
              <w:top w:w="80" w:type="dxa"/>
              <w:left w:w="100" w:type="dxa"/>
              <w:bottom w:w="80" w:type="dxa"/>
              <w:right w:w="100" w:type="dxa"/>
            </w:tcMar>
            <w:vAlign w:val="center"/>
          </w:tcPr>
          <w:p w14:paraId="9FFA20AD">
            <w:pPr>
              <w:pStyle w:val="style0"/>
              <w:spacing w:lineRule="auto" w:line="420"/>
              <w:rPr>
                <w:rFonts w:ascii="RobotoStatic" w:cs="Zawgyi-One" w:hAnsi="Source Sans Pro"/>
              </w:rPr>
            </w:pPr>
            <w:r>
              <w:rPr>
                <w:rFonts w:ascii="RobotoStatic" w:cs="Zawgyi-One" w:hAnsi="Source Sans Pro"/>
                <w:sz w:val="18"/>
                <w:szCs w:val="18"/>
              </w:rPr>
              <w:t>A</w:t>
            </w:r>
          </w:p>
        </w:tc>
        <w:tc>
          <w:tcPr>
            <w:tcW w:w="620" w:type="dxa"/>
            <w:tcBorders/>
            <w:shd w:val="clear" w:color="auto" w:fill="auto"/>
            <w:tcMar>
              <w:top w:w="80" w:type="dxa"/>
              <w:left w:w="100" w:type="dxa"/>
              <w:bottom w:w="80" w:type="dxa"/>
              <w:right w:w="100" w:type="dxa"/>
            </w:tcMar>
            <w:vAlign w:val="center"/>
          </w:tcPr>
          <w:p w14:paraId="7BD01344">
            <w:pPr>
              <w:pStyle w:val="style0"/>
              <w:spacing w:lineRule="auto" w:line="420"/>
              <w:rPr>
                <w:rFonts w:ascii="RobotoStatic" w:cs="Zawgyi-One" w:hAnsi="Source Sans Pro"/>
              </w:rPr>
            </w:pPr>
            <w:r>
              <w:rPr>
                <w:rFonts w:ascii="RobotoStatic" w:cs="Zawgyi-One" w:hAnsi="Source Sans Pro"/>
                <w:sz w:val="18"/>
                <w:szCs w:val="18"/>
              </w:rPr>
              <w:t>I</w:t>
            </w:r>
          </w:p>
        </w:tc>
        <w:tc>
          <w:tcPr>
            <w:tcW w:w="620" w:type="dxa"/>
            <w:tcBorders/>
            <w:shd w:val="clear" w:color="auto" w:fill="auto"/>
            <w:tcMar>
              <w:top w:w="80" w:type="dxa"/>
              <w:left w:w="100" w:type="dxa"/>
              <w:bottom w:w="80" w:type="dxa"/>
              <w:right w:w="100" w:type="dxa"/>
            </w:tcMar>
            <w:vAlign w:val="center"/>
          </w:tcPr>
          <w:p w14:paraId="1BD6883F">
            <w:pPr>
              <w:pStyle w:val="style0"/>
              <w:spacing w:lineRule="auto" w:line="420"/>
              <w:rPr>
                <w:rFonts w:ascii="RobotoStatic" w:cs="Zawgyi-One" w:hAnsi="Source Sans Pro"/>
              </w:rPr>
            </w:pPr>
            <w:r>
              <w:rPr>
                <w:rFonts w:ascii="RobotoStatic" w:cs="Zawgyi-One" w:hAnsi="Source Sans Pro"/>
                <w:sz w:val="18"/>
                <w:szCs w:val="18"/>
              </w:rPr>
              <w:t>I</w:t>
            </w:r>
          </w:p>
        </w:tc>
        <w:tc>
          <w:tcPr>
            <w:tcW w:w="640" w:type="dxa"/>
            <w:tcBorders/>
            <w:shd w:val="clear" w:color="auto" w:fill="auto"/>
            <w:tcMar>
              <w:top w:w="80" w:type="dxa"/>
              <w:left w:w="100" w:type="dxa"/>
              <w:bottom w:w="80" w:type="dxa"/>
              <w:right w:w="100" w:type="dxa"/>
            </w:tcMar>
            <w:vAlign w:val="center"/>
          </w:tcPr>
          <w:p w14:paraId="248E4D03">
            <w:pPr>
              <w:pStyle w:val="style0"/>
              <w:spacing w:lineRule="auto" w:line="420"/>
              <w:rPr>
                <w:rFonts w:ascii="RobotoStatic" w:cs="Zawgyi-One" w:hAnsi="Source Sans Pro"/>
              </w:rPr>
            </w:pPr>
            <w:r>
              <w:rPr>
                <w:rFonts w:ascii="RobotoStatic" w:cs="Zawgyi-One" w:hAnsi="Source Sans Pro"/>
                <w:sz w:val="18"/>
                <w:szCs w:val="18"/>
              </w:rPr>
              <w:t>I</w:t>
            </w:r>
          </w:p>
        </w:tc>
      </w:tr>
      <w:tr w14:paraId="BCC834DB">
        <w:tblPrEx/>
        <w:trPr/>
        <w:tc>
          <w:tcPr>
            <w:tcW w:w="2560" w:type="dxa"/>
            <w:tcBorders/>
            <w:shd w:val="clear" w:color="auto" w:fill="auto"/>
            <w:tcMar>
              <w:top w:w="80" w:type="dxa"/>
              <w:left w:w="100" w:type="dxa"/>
              <w:bottom w:w="80" w:type="dxa"/>
              <w:right w:w="100" w:type="dxa"/>
            </w:tcMar>
            <w:vAlign w:val="center"/>
          </w:tcPr>
          <w:p w14:paraId="9D3DD822">
            <w:pPr>
              <w:pStyle w:val="style0"/>
              <w:spacing w:lineRule="auto" w:line="420"/>
              <w:rPr>
                <w:rFonts w:ascii="RobotoStatic" w:cs="Zawgyi-One" w:hAnsi="Source Sans Pro"/>
              </w:rPr>
            </w:pPr>
            <w:r>
              <w:rPr>
                <w:rFonts w:ascii="RobotoStatic" w:cs="Zawgyi-One" w:hAnsi="Source Sans Pro"/>
                <w:sz w:val="18"/>
                <w:szCs w:val="18"/>
              </w:rPr>
              <w:t>Security architecture approval</w:t>
            </w:r>
          </w:p>
        </w:tc>
        <w:tc>
          <w:tcPr>
            <w:tcW w:w="700" w:type="dxa"/>
            <w:tcBorders/>
            <w:shd w:val="clear" w:color="auto" w:fill="auto"/>
            <w:tcMar>
              <w:top w:w="80" w:type="dxa"/>
              <w:left w:w="100" w:type="dxa"/>
              <w:bottom w:w="80" w:type="dxa"/>
              <w:right w:w="100" w:type="dxa"/>
            </w:tcMar>
            <w:vAlign w:val="center"/>
          </w:tcPr>
          <w:p w14:paraId="FEEDC61B">
            <w:pPr>
              <w:pStyle w:val="style0"/>
              <w:spacing w:lineRule="auto" w:line="420"/>
              <w:rPr>
                <w:rFonts w:ascii="RobotoStatic" w:cs="Zawgyi-One" w:hAnsi="Source Sans Pro"/>
              </w:rPr>
            </w:pPr>
            <w:r>
              <w:rPr>
                <w:rFonts w:ascii="RobotoStatic" w:cs="Zawgyi-One" w:hAnsi="Source Sans Pro"/>
                <w:sz w:val="18"/>
                <w:szCs w:val="18"/>
              </w:rPr>
              <w:t>I</w:t>
            </w:r>
          </w:p>
        </w:tc>
        <w:tc>
          <w:tcPr>
            <w:tcW w:w="660" w:type="dxa"/>
            <w:tcBorders/>
            <w:shd w:val="clear" w:color="auto" w:fill="auto"/>
            <w:tcMar>
              <w:top w:w="80" w:type="dxa"/>
              <w:left w:w="100" w:type="dxa"/>
              <w:bottom w:w="80" w:type="dxa"/>
              <w:right w:w="100" w:type="dxa"/>
            </w:tcMar>
            <w:vAlign w:val="center"/>
          </w:tcPr>
          <w:p w14:paraId="FCEDCC23">
            <w:pPr>
              <w:pStyle w:val="style0"/>
              <w:spacing w:lineRule="auto" w:line="420"/>
              <w:rPr>
                <w:rFonts w:ascii="RobotoStatic" w:cs="Zawgyi-One" w:hAnsi="Source Sans Pro"/>
              </w:rPr>
            </w:pPr>
            <w:r>
              <w:rPr>
                <w:rFonts w:ascii="RobotoStatic" w:cs="Zawgyi-One" w:hAnsi="Source Sans Pro"/>
                <w:sz w:val="18"/>
                <w:szCs w:val="18"/>
              </w:rPr>
              <w:t>I</w:t>
            </w:r>
          </w:p>
        </w:tc>
        <w:tc>
          <w:tcPr>
            <w:tcW w:w="660" w:type="dxa"/>
            <w:tcBorders/>
            <w:shd w:val="clear" w:color="auto" w:fill="auto"/>
            <w:tcMar>
              <w:top w:w="80" w:type="dxa"/>
              <w:left w:w="100" w:type="dxa"/>
              <w:bottom w:w="80" w:type="dxa"/>
              <w:right w:w="100" w:type="dxa"/>
            </w:tcMar>
            <w:vAlign w:val="center"/>
          </w:tcPr>
          <w:p w14:paraId="8EBF7C48">
            <w:pPr>
              <w:pStyle w:val="style0"/>
              <w:spacing w:lineRule="auto" w:line="420"/>
              <w:rPr>
                <w:rFonts w:ascii="RobotoStatic" w:cs="Zawgyi-One" w:hAnsi="Source Sans Pro"/>
              </w:rPr>
            </w:pPr>
            <w:r>
              <w:rPr>
                <w:rFonts w:ascii="RobotoStatic" w:cs="Zawgyi-One" w:hAnsi="Source Sans Pro"/>
                <w:sz w:val="18"/>
                <w:szCs w:val="18"/>
              </w:rPr>
              <w:t>A</w:t>
            </w:r>
          </w:p>
        </w:tc>
        <w:tc>
          <w:tcPr>
            <w:tcW w:w="660" w:type="dxa"/>
            <w:tcBorders/>
            <w:shd w:val="clear" w:color="auto" w:fill="auto"/>
            <w:tcMar>
              <w:top w:w="80" w:type="dxa"/>
              <w:left w:w="100" w:type="dxa"/>
              <w:bottom w:w="80" w:type="dxa"/>
              <w:right w:w="100" w:type="dxa"/>
            </w:tcMar>
            <w:vAlign w:val="center"/>
          </w:tcPr>
          <w:p w14:paraId="6BAFFFC6">
            <w:pPr>
              <w:pStyle w:val="style0"/>
              <w:spacing w:lineRule="auto" w:line="420"/>
              <w:rPr>
                <w:rFonts w:ascii="RobotoStatic" w:cs="Zawgyi-One" w:hAnsi="Source Sans Pro"/>
              </w:rPr>
            </w:pPr>
            <w:r>
              <w:rPr>
                <w:rFonts w:ascii="RobotoStatic" w:cs="Zawgyi-One" w:hAnsi="Source Sans Pro"/>
                <w:sz w:val="18"/>
                <w:szCs w:val="18"/>
              </w:rPr>
              <w:t>C</w:t>
            </w:r>
          </w:p>
        </w:tc>
        <w:tc>
          <w:tcPr>
            <w:tcW w:w="640" w:type="dxa"/>
            <w:tcBorders/>
            <w:shd w:val="clear" w:color="auto" w:fill="auto"/>
            <w:tcMar>
              <w:top w:w="80" w:type="dxa"/>
              <w:left w:w="100" w:type="dxa"/>
              <w:bottom w:w="80" w:type="dxa"/>
              <w:right w:w="100" w:type="dxa"/>
            </w:tcMar>
            <w:vAlign w:val="center"/>
          </w:tcPr>
          <w:p w14:paraId="BA9C5547">
            <w:pPr>
              <w:pStyle w:val="style0"/>
              <w:spacing w:lineRule="auto" w:line="420"/>
              <w:rPr>
                <w:rFonts w:ascii="RobotoStatic" w:cs="Zawgyi-One" w:hAnsi="Source Sans Pro"/>
              </w:rPr>
            </w:pPr>
            <w:r>
              <w:rPr>
                <w:rFonts w:ascii="RobotoStatic" w:cs="Zawgyi-One" w:hAnsi="Source Sans Pro"/>
                <w:sz w:val="18"/>
                <w:szCs w:val="18"/>
              </w:rPr>
              <w:t>I</w:t>
            </w:r>
          </w:p>
        </w:tc>
        <w:tc>
          <w:tcPr>
            <w:tcW w:w="660" w:type="dxa"/>
            <w:tcBorders/>
            <w:shd w:val="clear" w:color="auto" w:fill="auto"/>
            <w:tcMar>
              <w:top w:w="80" w:type="dxa"/>
              <w:left w:w="100" w:type="dxa"/>
              <w:bottom w:w="80" w:type="dxa"/>
              <w:right w:w="100" w:type="dxa"/>
            </w:tcMar>
            <w:vAlign w:val="center"/>
          </w:tcPr>
          <w:p w14:paraId="15A66FC3">
            <w:pPr>
              <w:pStyle w:val="style0"/>
              <w:spacing w:lineRule="auto" w:line="420"/>
              <w:rPr>
                <w:rFonts w:ascii="RobotoStatic" w:cs="Zawgyi-One" w:hAnsi="Source Sans Pro"/>
              </w:rPr>
            </w:pPr>
            <w:r>
              <w:rPr>
                <w:rFonts w:ascii="RobotoStatic" w:cs="Zawgyi-One" w:hAnsi="Source Sans Pro"/>
                <w:sz w:val="18"/>
                <w:szCs w:val="18"/>
              </w:rPr>
              <w:t>I</w:t>
            </w:r>
          </w:p>
        </w:tc>
        <w:tc>
          <w:tcPr>
            <w:tcW w:w="620" w:type="dxa"/>
            <w:tcBorders/>
            <w:shd w:val="clear" w:color="auto" w:fill="auto"/>
            <w:tcMar>
              <w:top w:w="80" w:type="dxa"/>
              <w:left w:w="100" w:type="dxa"/>
              <w:bottom w:w="80" w:type="dxa"/>
              <w:right w:w="100" w:type="dxa"/>
            </w:tcMar>
            <w:vAlign w:val="center"/>
          </w:tcPr>
          <w:p w14:paraId="9EAD8708">
            <w:pPr>
              <w:pStyle w:val="style0"/>
              <w:spacing w:lineRule="auto" w:line="420"/>
              <w:rPr>
                <w:rFonts w:ascii="RobotoStatic" w:cs="Zawgyi-One" w:hAnsi="Source Sans Pro"/>
              </w:rPr>
            </w:pPr>
            <w:r>
              <w:rPr>
                <w:rFonts w:ascii="RobotoStatic" w:cs="Zawgyi-One" w:hAnsi="Source Sans Pro"/>
                <w:sz w:val="18"/>
                <w:szCs w:val="18"/>
              </w:rPr>
              <w:t>I</w:t>
            </w:r>
          </w:p>
        </w:tc>
        <w:tc>
          <w:tcPr>
            <w:tcW w:w="620" w:type="dxa"/>
            <w:tcBorders/>
            <w:shd w:val="clear" w:color="auto" w:fill="auto"/>
            <w:tcMar>
              <w:top w:w="80" w:type="dxa"/>
              <w:left w:w="100" w:type="dxa"/>
              <w:bottom w:w="80" w:type="dxa"/>
              <w:right w:w="100" w:type="dxa"/>
            </w:tcMar>
            <w:vAlign w:val="center"/>
          </w:tcPr>
          <w:p w14:paraId="4E82A46C">
            <w:pPr>
              <w:pStyle w:val="style0"/>
              <w:spacing w:lineRule="auto" w:line="420"/>
              <w:rPr>
                <w:rFonts w:ascii="RobotoStatic" w:cs="Zawgyi-One" w:hAnsi="Source Sans Pro"/>
              </w:rPr>
            </w:pPr>
            <w:r>
              <w:rPr>
                <w:rFonts w:ascii="RobotoStatic" w:cs="Zawgyi-One" w:hAnsi="Source Sans Pro"/>
                <w:sz w:val="18"/>
                <w:szCs w:val="18"/>
              </w:rPr>
              <w:t>R</w:t>
            </w:r>
          </w:p>
        </w:tc>
        <w:tc>
          <w:tcPr>
            <w:tcW w:w="640" w:type="dxa"/>
            <w:tcBorders/>
            <w:shd w:val="clear" w:color="auto" w:fill="auto"/>
            <w:tcMar>
              <w:top w:w="80" w:type="dxa"/>
              <w:left w:w="100" w:type="dxa"/>
              <w:bottom w:w="80" w:type="dxa"/>
              <w:right w:w="100" w:type="dxa"/>
            </w:tcMar>
            <w:vAlign w:val="center"/>
          </w:tcPr>
          <w:p w14:paraId="FEA1E82E">
            <w:pPr>
              <w:pStyle w:val="style0"/>
              <w:spacing w:lineRule="auto" w:line="420"/>
              <w:rPr>
                <w:rFonts w:ascii="RobotoStatic" w:cs="Zawgyi-One" w:hAnsi="Source Sans Pro"/>
              </w:rPr>
            </w:pPr>
            <w:r>
              <w:rPr>
                <w:rFonts w:ascii="RobotoStatic" w:cs="Zawgyi-One" w:hAnsi="Source Sans Pro"/>
                <w:sz w:val="18"/>
                <w:szCs w:val="18"/>
              </w:rPr>
              <w:t>I</w:t>
            </w:r>
          </w:p>
        </w:tc>
      </w:tr>
      <w:tr w14:paraId="62A87FC0">
        <w:tblPrEx/>
        <w:trPr/>
        <w:tc>
          <w:tcPr>
            <w:tcW w:w="2560" w:type="dxa"/>
            <w:tcBorders/>
            <w:shd w:val="clear" w:color="auto" w:fill="auto"/>
            <w:tcMar>
              <w:top w:w="80" w:type="dxa"/>
              <w:left w:w="100" w:type="dxa"/>
              <w:bottom w:w="80" w:type="dxa"/>
              <w:right w:w="100" w:type="dxa"/>
            </w:tcMar>
            <w:vAlign w:val="center"/>
          </w:tcPr>
          <w:p w14:paraId="F45278A8">
            <w:pPr>
              <w:pStyle w:val="style0"/>
              <w:spacing w:lineRule="auto" w:line="420"/>
              <w:rPr>
                <w:rFonts w:ascii="RobotoStatic" w:cs="Zawgyi-One" w:hAnsi="Source Sans Pro"/>
              </w:rPr>
            </w:pPr>
            <w:r>
              <w:rPr>
                <w:rFonts w:ascii="RobotoStatic" w:cs="Zawgyi-One" w:hAnsi="Source Sans Pro"/>
                <w:sz w:val="18"/>
                <w:szCs w:val="18"/>
              </w:rPr>
              <w:t>Third-party security review</w:t>
            </w:r>
          </w:p>
        </w:tc>
        <w:tc>
          <w:tcPr>
            <w:tcW w:w="700" w:type="dxa"/>
            <w:tcBorders/>
            <w:shd w:val="clear" w:color="auto" w:fill="auto"/>
            <w:tcMar>
              <w:top w:w="80" w:type="dxa"/>
              <w:left w:w="100" w:type="dxa"/>
              <w:bottom w:w="80" w:type="dxa"/>
              <w:right w:w="100" w:type="dxa"/>
            </w:tcMar>
            <w:vAlign w:val="center"/>
          </w:tcPr>
          <w:p w14:paraId="EF684099">
            <w:pPr>
              <w:pStyle w:val="style0"/>
              <w:spacing w:lineRule="auto" w:line="420"/>
              <w:rPr>
                <w:rFonts w:ascii="RobotoStatic" w:cs="Zawgyi-One" w:hAnsi="Source Sans Pro"/>
              </w:rPr>
            </w:pPr>
            <w:r>
              <w:rPr>
                <w:rFonts w:ascii="RobotoStatic" w:cs="Zawgyi-One" w:hAnsi="Source Sans Pro"/>
                <w:sz w:val="18"/>
                <w:szCs w:val="18"/>
              </w:rPr>
              <w:t>I</w:t>
            </w:r>
          </w:p>
        </w:tc>
        <w:tc>
          <w:tcPr>
            <w:tcW w:w="660" w:type="dxa"/>
            <w:tcBorders/>
            <w:shd w:val="clear" w:color="auto" w:fill="auto"/>
            <w:tcMar>
              <w:top w:w="80" w:type="dxa"/>
              <w:left w:w="100" w:type="dxa"/>
              <w:bottom w:w="80" w:type="dxa"/>
              <w:right w:w="100" w:type="dxa"/>
            </w:tcMar>
            <w:vAlign w:val="center"/>
          </w:tcPr>
          <w:p w14:paraId="33C494F0">
            <w:pPr>
              <w:pStyle w:val="style0"/>
              <w:spacing w:lineRule="auto" w:line="420"/>
              <w:rPr>
                <w:rFonts w:ascii="RobotoStatic" w:cs="Zawgyi-One" w:hAnsi="Source Sans Pro"/>
              </w:rPr>
            </w:pPr>
            <w:r>
              <w:rPr>
                <w:rFonts w:ascii="RobotoStatic" w:cs="Zawgyi-One" w:hAnsi="Source Sans Pro"/>
                <w:sz w:val="18"/>
                <w:szCs w:val="18"/>
              </w:rPr>
              <w:t>I</w:t>
            </w:r>
          </w:p>
        </w:tc>
        <w:tc>
          <w:tcPr>
            <w:tcW w:w="660" w:type="dxa"/>
            <w:tcBorders/>
            <w:shd w:val="clear" w:color="auto" w:fill="auto"/>
            <w:tcMar>
              <w:top w:w="80" w:type="dxa"/>
              <w:left w:w="100" w:type="dxa"/>
              <w:bottom w:w="80" w:type="dxa"/>
              <w:right w:w="100" w:type="dxa"/>
            </w:tcMar>
            <w:vAlign w:val="center"/>
          </w:tcPr>
          <w:p w14:paraId="BB020744">
            <w:pPr>
              <w:pStyle w:val="style0"/>
              <w:spacing w:lineRule="auto" w:line="420"/>
              <w:rPr>
                <w:rFonts w:ascii="RobotoStatic" w:cs="Zawgyi-One" w:hAnsi="Source Sans Pro"/>
              </w:rPr>
            </w:pPr>
            <w:r>
              <w:rPr>
                <w:rFonts w:ascii="RobotoStatic" w:cs="Zawgyi-One" w:hAnsi="Source Sans Pro"/>
                <w:sz w:val="18"/>
                <w:szCs w:val="18"/>
              </w:rPr>
              <w:t>A</w:t>
            </w:r>
          </w:p>
        </w:tc>
        <w:tc>
          <w:tcPr>
            <w:tcW w:w="660" w:type="dxa"/>
            <w:tcBorders/>
            <w:shd w:val="clear" w:color="auto" w:fill="auto"/>
            <w:tcMar>
              <w:top w:w="80" w:type="dxa"/>
              <w:left w:w="100" w:type="dxa"/>
              <w:bottom w:w="80" w:type="dxa"/>
              <w:right w:w="100" w:type="dxa"/>
            </w:tcMar>
            <w:vAlign w:val="center"/>
          </w:tcPr>
          <w:p w14:paraId="250D8941">
            <w:pPr>
              <w:pStyle w:val="style0"/>
              <w:spacing w:lineRule="auto" w:line="420"/>
              <w:rPr>
                <w:rFonts w:ascii="RobotoStatic" w:cs="Zawgyi-One" w:hAnsi="Source Sans Pro"/>
              </w:rPr>
            </w:pPr>
            <w:r>
              <w:rPr>
                <w:rFonts w:ascii="RobotoStatic" w:cs="Zawgyi-One" w:hAnsi="Source Sans Pro"/>
                <w:sz w:val="18"/>
                <w:szCs w:val="18"/>
              </w:rPr>
              <w:t>C</w:t>
            </w:r>
          </w:p>
        </w:tc>
        <w:tc>
          <w:tcPr>
            <w:tcW w:w="640" w:type="dxa"/>
            <w:tcBorders/>
            <w:shd w:val="clear" w:color="auto" w:fill="auto"/>
            <w:tcMar>
              <w:top w:w="80" w:type="dxa"/>
              <w:left w:w="100" w:type="dxa"/>
              <w:bottom w:w="80" w:type="dxa"/>
              <w:right w:w="100" w:type="dxa"/>
            </w:tcMar>
            <w:vAlign w:val="center"/>
          </w:tcPr>
          <w:p w14:paraId="601D3367">
            <w:pPr>
              <w:pStyle w:val="style0"/>
              <w:spacing w:lineRule="auto" w:line="420"/>
              <w:rPr>
                <w:rFonts w:ascii="RobotoStatic" w:cs="Zawgyi-One" w:hAnsi="Source Sans Pro"/>
              </w:rPr>
            </w:pPr>
            <w:r>
              <w:rPr>
                <w:rFonts w:ascii="RobotoStatic" w:cs="Zawgyi-One" w:hAnsi="Source Sans Pro"/>
                <w:sz w:val="18"/>
                <w:szCs w:val="18"/>
              </w:rPr>
              <w:t>C</w:t>
            </w:r>
          </w:p>
        </w:tc>
        <w:tc>
          <w:tcPr>
            <w:tcW w:w="660" w:type="dxa"/>
            <w:tcBorders/>
            <w:shd w:val="clear" w:color="auto" w:fill="auto"/>
            <w:tcMar>
              <w:top w:w="80" w:type="dxa"/>
              <w:left w:w="100" w:type="dxa"/>
              <w:bottom w:w="80" w:type="dxa"/>
              <w:right w:w="100" w:type="dxa"/>
            </w:tcMar>
            <w:vAlign w:val="center"/>
          </w:tcPr>
          <w:p w14:paraId="22849C77">
            <w:pPr>
              <w:pStyle w:val="style0"/>
              <w:spacing w:lineRule="auto" w:line="420"/>
              <w:rPr>
                <w:rFonts w:ascii="RobotoStatic" w:cs="Zawgyi-One" w:hAnsi="Source Sans Pro"/>
              </w:rPr>
            </w:pPr>
            <w:r>
              <w:rPr>
                <w:rFonts w:ascii="RobotoStatic" w:cs="Zawgyi-One" w:hAnsi="Source Sans Pro"/>
                <w:sz w:val="18"/>
                <w:szCs w:val="18"/>
              </w:rPr>
              <w:t>C</w:t>
            </w:r>
          </w:p>
        </w:tc>
        <w:tc>
          <w:tcPr>
            <w:tcW w:w="620" w:type="dxa"/>
            <w:tcBorders/>
            <w:shd w:val="clear" w:color="auto" w:fill="auto"/>
            <w:tcMar>
              <w:top w:w="80" w:type="dxa"/>
              <w:left w:w="100" w:type="dxa"/>
              <w:bottom w:w="80" w:type="dxa"/>
              <w:right w:w="100" w:type="dxa"/>
            </w:tcMar>
            <w:vAlign w:val="center"/>
          </w:tcPr>
          <w:p w14:paraId="F01F8C1F">
            <w:pPr>
              <w:pStyle w:val="style0"/>
              <w:spacing w:lineRule="auto" w:line="420"/>
              <w:rPr>
                <w:rFonts w:ascii="RobotoStatic" w:cs="Zawgyi-One" w:hAnsi="Source Sans Pro"/>
              </w:rPr>
            </w:pPr>
            <w:r>
              <w:rPr>
                <w:rFonts w:ascii="RobotoStatic" w:cs="Zawgyi-One" w:hAnsi="Source Sans Pro"/>
                <w:sz w:val="18"/>
                <w:szCs w:val="18"/>
              </w:rPr>
              <w:t>I</w:t>
            </w:r>
          </w:p>
        </w:tc>
        <w:tc>
          <w:tcPr>
            <w:tcW w:w="620" w:type="dxa"/>
            <w:tcBorders/>
            <w:shd w:val="clear" w:color="auto" w:fill="auto"/>
            <w:tcMar>
              <w:top w:w="80" w:type="dxa"/>
              <w:left w:w="100" w:type="dxa"/>
              <w:bottom w:w="80" w:type="dxa"/>
              <w:right w:w="100" w:type="dxa"/>
            </w:tcMar>
            <w:vAlign w:val="center"/>
          </w:tcPr>
          <w:p w14:paraId="9F0EF201">
            <w:pPr>
              <w:pStyle w:val="style0"/>
              <w:spacing w:lineRule="auto" w:line="420"/>
              <w:rPr>
                <w:rFonts w:ascii="RobotoStatic" w:cs="Zawgyi-One" w:hAnsi="Source Sans Pro"/>
              </w:rPr>
            </w:pPr>
            <w:r>
              <w:rPr>
                <w:rFonts w:ascii="RobotoStatic" w:cs="Zawgyi-One" w:hAnsi="Source Sans Pro"/>
                <w:sz w:val="18"/>
                <w:szCs w:val="18"/>
              </w:rPr>
              <w:t>R</w:t>
            </w:r>
          </w:p>
        </w:tc>
        <w:tc>
          <w:tcPr>
            <w:tcW w:w="640" w:type="dxa"/>
            <w:tcBorders/>
            <w:shd w:val="clear" w:color="auto" w:fill="auto"/>
            <w:tcMar>
              <w:top w:w="80" w:type="dxa"/>
              <w:left w:w="100" w:type="dxa"/>
              <w:bottom w:w="80" w:type="dxa"/>
              <w:right w:w="100" w:type="dxa"/>
            </w:tcMar>
            <w:vAlign w:val="center"/>
          </w:tcPr>
          <w:p w14:paraId="F9553212">
            <w:pPr>
              <w:pStyle w:val="style0"/>
              <w:spacing w:lineRule="auto" w:line="420"/>
              <w:rPr>
                <w:rFonts w:ascii="RobotoStatic" w:cs="Zawgyi-One" w:hAnsi="Source Sans Pro"/>
              </w:rPr>
            </w:pPr>
            <w:r>
              <w:rPr>
                <w:rFonts w:ascii="RobotoStatic" w:cs="Zawgyi-One" w:hAnsi="Source Sans Pro"/>
                <w:sz w:val="18"/>
                <w:szCs w:val="18"/>
              </w:rPr>
              <w:t>C</w:t>
            </w:r>
          </w:p>
        </w:tc>
      </w:tr>
      <w:tr w14:paraId="A7D813DD">
        <w:tblPrEx/>
        <w:trPr/>
        <w:tc>
          <w:tcPr>
            <w:tcW w:w="2560" w:type="dxa"/>
            <w:tcBorders/>
            <w:shd w:val="clear" w:color="auto" w:fill="auto"/>
            <w:tcMar>
              <w:top w:w="80" w:type="dxa"/>
              <w:left w:w="100" w:type="dxa"/>
              <w:bottom w:w="80" w:type="dxa"/>
              <w:right w:w="100" w:type="dxa"/>
            </w:tcMar>
            <w:vAlign w:val="center"/>
          </w:tcPr>
          <w:p w14:paraId="86C0B6AF">
            <w:pPr>
              <w:pStyle w:val="style0"/>
              <w:spacing w:lineRule="auto" w:line="420"/>
              <w:rPr>
                <w:rFonts w:ascii="RobotoStatic" w:cs="Zawgyi-One" w:hAnsi="Source Sans Pro"/>
              </w:rPr>
            </w:pPr>
            <w:r>
              <w:rPr>
                <w:rFonts w:ascii="RobotoStatic" w:cs="Zawgyi-One" w:hAnsi="Source Sans Pro"/>
                <w:sz w:val="18"/>
                <w:szCs w:val="18"/>
              </w:rPr>
              <w:t>Access governance</w:t>
            </w:r>
          </w:p>
        </w:tc>
        <w:tc>
          <w:tcPr>
            <w:tcW w:w="700" w:type="dxa"/>
            <w:tcBorders/>
            <w:shd w:val="clear" w:color="auto" w:fill="auto"/>
            <w:tcMar>
              <w:top w:w="80" w:type="dxa"/>
              <w:left w:w="100" w:type="dxa"/>
              <w:bottom w:w="80" w:type="dxa"/>
              <w:right w:w="100" w:type="dxa"/>
            </w:tcMar>
            <w:vAlign w:val="center"/>
          </w:tcPr>
          <w:p w14:paraId="6E50FD0C">
            <w:pPr>
              <w:pStyle w:val="style0"/>
              <w:spacing w:lineRule="auto" w:line="420"/>
              <w:rPr>
                <w:rFonts w:ascii="RobotoStatic" w:cs="Zawgyi-One" w:hAnsi="Source Sans Pro"/>
              </w:rPr>
            </w:pPr>
            <w:r>
              <w:rPr>
                <w:rFonts w:ascii="RobotoStatic" w:cs="Zawgyi-One" w:hAnsi="Source Sans Pro"/>
                <w:sz w:val="18"/>
                <w:szCs w:val="18"/>
              </w:rPr>
              <w:t>I</w:t>
            </w:r>
          </w:p>
        </w:tc>
        <w:tc>
          <w:tcPr>
            <w:tcW w:w="660" w:type="dxa"/>
            <w:tcBorders/>
            <w:shd w:val="clear" w:color="auto" w:fill="auto"/>
            <w:tcMar>
              <w:top w:w="80" w:type="dxa"/>
              <w:left w:w="100" w:type="dxa"/>
              <w:bottom w:w="80" w:type="dxa"/>
              <w:right w:w="100" w:type="dxa"/>
            </w:tcMar>
            <w:vAlign w:val="center"/>
          </w:tcPr>
          <w:p w14:paraId="AAC8ED77">
            <w:pPr>
              <w:pStyle w:val="style0"/>
              <w:spacing w:lineRule="auto" w:line="420"/>
              <w:rPr>
                <w:rFonts w:ascii="RobotoStatic" w:cs="Zawgyi-One" w:hAnsi="Source Sans Pro"/>
              </w:rPr>
            </w:pPr>
            <w:r>
              <w:rPr>
                <w:rFonts w:ascii="RobotoStatic" w:cs="Zawgyi-One" w:hAnsi="Source Sans Pro"/>
                <w:sz w:val="18"/>
                <w:szCs w:val="18"/>
              </w:rPr>
              <w:t>I</w:t>
            </w:r>
          </w:p>
        </w:tc>
        <w:tc>
          <w:tcPr>
            <w:tcW w:w="660" w:type="dxa"/>
            <w:tcBorders/>
            <w:shd w:val="clear" w:color="auto" w:fill="auto"/>
            <w:tcMar>
              <w:top w:w="80" w:type="dxa"/>
              <w:left w:w="100" w:type="dxa"/>
              <w:bottom w:w="80" w:type="dxa"/>
              <w:right w:w="100" w:type="dxa"/>
            </w:tcMar>
            <w:vAlign w:val="center"/>
          </w:tcPr>
          <w:p w14:paraId="02392EB7">
            <w:pPr>
              <w:pStyle w:val="style0"/>
              <w:spacing w:lineRule="auto" w:line="420"/>
              <w:rPr>
                <w:rFonts w:ascii="RobotoStatic" w:cs="Zawgyi-One" w:hAnsi="Source Sans Pro"/>
              </w:rPr>
            </w:pPr>
            <w:r>
              <w:rPr>
                <w:rFonts w:ascii="RobotoStatic" w:cs="Zawgyi-One" w:hAnsi="Source Sans Pro"/>
                <w:sz w:val="18"/>
                <w:szCs w:val="18"/>
              </w:rPr>
              <w:t>A</w:t>
            </w:r>
          </w:p>
        </w:tc>
        <w:tc>
          <w:tcPr>
            <w:tcW w:w="660" w:type="dxa"/>
            <w:tcBorders/>
            <w:shd w:val="clear" w:color="auto" w:fill="auto"/>
            <w:tcMar>
              <w:top w:w="80" w:type="dxa"/>
              <w:left w:w="100" w:type="dxa"/>
              <w:bottom w:w="80" w:type="dxa"/>
              <w:right w:w="100" w:type="dxa"/>
            </w:tcMar>
            <w:vAlign w:val="center"/>
          </w:tcPr>
          <w:p w14:paraId="88BAF58D">
            <w:pPr>
              <w:pStyle w:val="style0"/>
              <w:spacing w:lineRule="auto" w:line="420"/>
              <w:rPr>
                <w:rFonts w:ascii="RobotoStatic" w:cs="Zawgyi-One" w:hAnsi="Source Sans Pro"/>
              </w:rPr>
            </w:pPr>
            <w:r>
              <w:rPr>
                <w:rFonts w:ascii="RobotoStatic" w:cs="Zawgyi-One" w:hAnsi="Source Sans Pro"/>
                <w:sz w:val="18"/>
                <w:szCs w:val="18"/>
              </w:rPr>
              <w:t>I</w:t>
            </w:r>
          </w:p>
        </w:tc>
        <w:tc>
          <w:tcPr>
            <w:tcW w:w="640" w:type="dxa"/>
            <w:tcBorders/>
            <w:shd w:val="clear" w:color="auto" w:fill="auto"/>
            <w:tcMar>
              <w:top w:w="80" w:type="dxa"/>
              <w:left w:w="100" w:type="dxa"/>
              <w:bottom w:w="80" w:type="dxa"/>
              <w:right w:w="100" w:type="dxa"/>
            </w:tcMar>
            <w:vAlign w:val="center"/>
          </w:tcPr>
          <w:p w14:paraId="32C5BDD8">
            <w:pPr>
              <w:pStyle w:val="style0"/>
              <w:spacing w:lineRule="auto" w:line="420"/>
              <w:rPr>
                <w:rFonts w:ascii="RobotoStatic" w:cs="Zawgyi-One" w:hAnsi="Source Sans Pro"/>
              </w:rPr>
            </w:pPr>
            <w:r>
              <w:rPr>
                <w:rFonts w:ascii="RobotoStatic" w:cs="Zawgyi-One" w:hAnsi="Source Sans Pro"/>
                <w:sz w:val="18"/>
                <w:szCs w:val="18"/>
              </w:rPr>
              <w:t>I</w:t>
            </w:r>
          </w:p>
        </w:tc>
        <w:tc>
          <w:tcPr>
            <w:tcW w:w="660" w:type="dxa"/>
            <w:tcBorders/>
            <w:shd w:val="clear" w:color="auto" w:fill="auto"/>
            <w:tcMar>
              <w:top w:w="80" w:type="dxa"/>
              <w:left w:w="100" w:type="dxa"/>
              <w:bottom w:w="80" w:type="dxa"/>
              <w:right w:w="100" w:type="dxa"/>
            </w:tcMar>
            <w:vAlign w:val="center"/>
          </w:tcPr>
          <w:p w14:paraId="A505E8F6">
            <w:pPr>
              <w:pStyle w:val="style0"/>
              <w:spacing w:lineRule="auto" w:line="420"/>
              <w:rPr>
                <w:rFonts w:ascii="RobotoStatic" w:cs="Zawgyi-One" w:hAnsi="Source Sans Pro"/>
              </w:rPr>
            </w:pPr>
            <w:r>
              <w:rPr>
                <w:rFonts w:ascii="RobotoStatic" w:cs="Zawgyi-One" w:hAnsi="Source Sans Pro"/>
                <w:sz w:val="18"/>
                <w:szCs w:val="18"/>
              </w:rPr>
              <w:t>I</w:t>
            </w:r>
          </w:p>
        </w:tc>
        <w:tc>
          <w:tcPr>
            <w:tcW w:w="620" w:type="dxa"/>
            <w:tcBorders/>
            <w:shd w:val="clear" w:color="auto" w:fill="auto"/>
            <w:tcMar>
              <w:top w:w="80" w:type="dxa"/>
              <w:left w:w="100" w:type="dxa"/>
              <w:bottom w:w="80" w:type="dxa"/>
              <w:right w:w="100" w:type="dxa"/>
            </w:tcMar>
            <w:vAlign w:val="center"/>
          </w:tcPr>
          <w:p w14:paraId="CF47DDD2">
            <w:pPr>
              <w:pStyle w:val="style0"/>
              <w:spacing w:lineRule="auto" w:line="420"/>
              <w:rPr>
                <w:rFonts w:ascii="RobotoStatic" w:cs="Zawgyi-One" w:hAnsi="Source Sans Pro"/>
              </w:rPr>
            </w:pPr>
            <w:r>
              <w:rPr>
                <w:rFonts w:ascii="RobotoStatic" w:cs="Zawgyi-One" w:hAnsi="Source Sans Pro"/>
                <w:sz w:val="18"/>
                <w:szCs w:val="18"/>
              </w:rPr>
              <w:t>C</w:t>
            </w:r>
          </w:p>
        </w:tc>
        <w:tc>
          <w:tcPr>
            <w:tcW w:w="620" w:type="dxa"/>
            <w:tcBorders/>
            <w:shd w:val="clear" w:color="auto" w:fill="auto"/>
            <w:tcMar>
              <w:top w:w="80" w:type="dxa"/>
              <w:left w:w="100" w:type="dxa"/>
              <w:bottom w:w="80" w:type="dxa"/>
              <w:right w:w="100" w:type="dxa"/>
            </w:tcMar>
            <w:vAlign w:val="center"/>
          </w:tcPr>
          <w:p w14:paraId="D26B3DDA">
            <w:pPr>
              <w:pStyle w:val="style0"/>
              <w:spacing w:lineRule="auto" w:line="420"/>
              <w:rPr>
                <w:rFonts w:ascii="RobotoStatic" w:cs="Zawgyi-One" w:hAnsi="Source Sans Pro"/>
              </w:rPr>
            </w:pPr>
            <w:r>
              <w:rPr>
                <w:rFonts w:ascii="RobotoStatic" w:cs="Zawgyi-One" w:hAnsi="Source Sans Pro"/>
                <w:sz w:val="18"/>
                <w:szCs w:val="18"/>
              </w:rPr>
              <w:t>R</w:t>
            </w:r>
          </w:p>
        </w:tc>
        <w:tc>
          <w:tcPr>
            <w:tcW w:w="640" w:type="dxa"/>
            <w:tcBorders/>
            <w:shd w:val="clear" w:color="auto" w:fill="auto"/>
            <w:tcMar>
              <w:top w:w="80" w:type="dxa"/>
              <w:left w:w="100" w:type="dxa"/>
              <w:bottom w:w="80" w:type="dxa"/>
              <w:right w:w="100" w:type="dxa"/>
            </w:tcMar>
            <w:vAlign w:val="center"/>
          </w:tcPr>
          <w:p w14:paraId="CC9BAD98">
            <w:pPr>
              <w:pStyle w:val="style0"/>
              <w:spacing w:lineRule="auto" w:line="420"/>
              <w:rPr>
                <w:rFonts w:ascii="RobotoStatic" w:cs="Zawgyi-One" w:hAnsi="Source Sans Pro"/>
              </w:rPr>
            </w:pPr>
            <w:r>
              <w:rPr>
                <w:rFonts w:ascii="RobotoStatic" w:cs="Zawgyi-One" w:hAnsi="Source Sans Pro"/>
                <w:sz w:val="18"/>
                <w:szCs w:val="18"/>
              </w:rPr>
              <w:t>C</w:t>
            </w:r>
          </w:p>
        </w:tc>
      </w:tr>
      <w:tr w14:paraId="6D11FF97">
        <w:tblPrEx/>
        <w:trPr/>
        <w:tc>
          <w:tcPr>
            <w:tcW w:w="2560" w:type="dxa"/>
            <w:tcBorders/>
            <w:shd w:val="clear" w:color="auto" w:fill="auto"/>
            <w:tcMar>
              <w:top w:w="80" w:type="dxa"/>
              <w:left w:w="100" w:type="dxa"/>
              <w:bottom w:w="80" w:type="dxa"/>
              <w:right w:w="100" w:type="dxa"/>
            </w:tcMar>
            <w:vAlign w:val="center"/>
          </w:tcPr>
          <w:p w14:paraId="39174864">
            <w:pPr>
              <w:pStyle w:val="style0"/>
              <w:spacing w:lineRule="auto" w:line="420"/>
              <w:rPr>
                <w:rFonts w:ascii="RobotoStatic" w:cs="Zawgyi-One" w:hAnsi="Source Sans Pro"/>
              </w:rPr>
            </w:pPr>
            <w:r>
              <w:rPr>
                <w:rFonts w:ascii="RobotoStatic" w:cs="Zawgyi-One" w:hAnsi="Source Sans Pro"/>
                <w:sz w:val="18"/>
                <w:szCs w:val="18"/>
              </w:rPr>
              <w:t>Incident response governance</w:t>
            </w:r>
          </w:p>
        </w:tc>
        <w:tc>
          <w:tcPr>
            <w:tcW w:w="700" w:type="dxa"/>
            <w:tcBorders/>
            <w:shd w:val="clear" w:color="auto" w:fill="auto"/>
            <w:tcMar>
              <w:top w:w="80" w:type="dxa"/>
              <w:left w:w="100" w:type="dxa"/>
              <w:bottom w:w="80" w:type="dxa"/>
              <w:right w:w="100" w:type="dxa"/>
            </w:tcMar>
            <w:vAlign w:val="center"/>
          </w:tcPr>
          <w:p w14:paraId="97BB2BBA">
            <w:pPr>
              <w:pStyle w:val="style0"/>
              <w:spacing w:lineRule="auto" w:line="420"/>
              <w:rPr>
                <w:rFonts w:ascii="RobotoStatic" w:cs="Zawgyi-One" w:hAnsi="Source Sans Pro"/>
              </w:rPr>
            </w:pPr>
            <w:r>
              <w:rPr>
                <w:rFonts w:ascii="RobotoStatic" w:cs="Zawgyi-One" w:hAnsi="Source Sans Pro"/>
                <w:sz w:val="18"/>
                <w:szCs w:val="18"/>
              </w:rPr>
              <w:t>I</w:t>
            </w:r>
          </w:p>
        </w:tc>
        <w:tc>
          <w:tcPr>
            <w:tcW w:w="660" w:type="dxa"/>
            <w:tcBorders/>
            <w:shd w:val="clear" w:color="auto" w:fill="auto"/>
            <w:tcMar>
              <w:top w:w="80" w:type="dxa"/>
              <w:left w:w="100" w:type="dxa"/>
              <w:bottom w:w="80" w:type="dxa"/>
              <w:right w:w="100" w:type="dxa"/>
            </w:tcMar>
            <w:vAlign w:val="center"/>
          </w:tcPr>
          <w:p w14:paraId="C5137F85">
            <w:pPr>
              <w:pStyle w:val="style0"/>
              <w:spacing w:lineRule="auto" w:line="420"/>
              <w:rPr>
                <w:rFonts w:ascii="RobotoStatic" w:cs="Zawgyi-One" w:hAnsi="Source Sans Pro"/>
              </w:rPr>
            </w:pPr>
            <w:r>
              <w:rPr>
                <w:rFonts w:ascii="RobotoStatic" w:cs="Zawgyi-One" w:hAnsi="Source Sans Pro"/>
                <w:sz w:val="18"/>
                <w:szCs w:val="18"/>
              </w:rPr>
              <w:t>I</w:t>
            </w:r>
          </w:p>
        </w:tc>
        <w:tc>
          <w:tcPr>
            <w:tcW w:w="660" w:type="dxa"/>
            <w:tcBorders/>
            <w:shd w:val="clear" w:color="auto" w:fill="auto"/>
            <w:tcMar>
              <w:top w:w="80" w:type="dxa"/>
              <w:left w:w="100" w:type="dxa"/>
              <w:bottom w:w="80" w:type="dxa"/>
              <w:right w:w="100" w:type="dxa"/>
            </w:tcMar>
            <w:vAlign w:val="center"/>
          </w:tcPr>
          <w:p w14:paraId="C3220D34">
            <w:pPr>
              <w:pStyle w:val="style0"/>
              <w:spacing w:lineRule="auto" w:line="420"/>
              <w:rPr>
                <w:rFonts w:ascii="RobotoStatic" w:cs="Zawgyi-One" w:hAnsi="Source Sans Pro"/>
              </w:rPr>
            </w:pPr>
            <w:r>
              <w:rPr>
                <w:rFonts w:ascii="RobotoStatic" w:cs="Zawgyi-One" w:hAnsi="Source Sans Pro"/>
                <w:sz w:val="18"/>
                <w:szCs w:val="18"/>
              </w:rPr>
              <w:t>A</w:t>
            </w:r>
          </w:p>
        </w:tc>
        <w:tc>
          <w:tcPr>
            <w:tcW w:w="660" w:type="dxa"/>
            <w:tcBorders/>
            <w:shd w:val="clear" w:color="auto" w:fill="auto"/>
            <w:tcMar>
              <w:top w:w="80" w:type="dxa"/>
              <w:left w:w="100" w:type="dxa"/>
              <w:bottom w:w="80" w:type="dxa"/>
              <w:right w:w="100" w:type="dxa"/>
            </w:tcMar>
            <w:vAlign w:val="center"/>
          </w:tcPr>
          <w:p w14:paraId="CD921161">
            <w:pPr>
              <w:pStyle w:val="style0"/>
              <w:spacing w:lineRule="auto" w:line="420"/>
              <w:rPr>
                <w:rFonts w:ascii="RobotoStatic" w:cs="Zawgyi-One" w:hAnsi="Source Sans Pro"/>
              </w:rPr>
            </w:pPr>
            <w:r>
              <w:rPr>
                <w:rFonts w:ascii="RobotoStatic" w:cs="Zawgyi-One" w:hAnsi="Source Sans Pro"/>
                <w:sz w:val="18"/>
                <w:szCs w:val="18"/>
              </w:rPr>
              <w:t>C</w:t>
            </w:r>
          </w:p>
        </w:tc>
        <w:tc>
          <w:tcPr>
            <w:tcW w:w="640" w:type="dxa"/>
            <w:tcBorders/>
            <w:shd w:val="clear" w:color="auto" w:fill="auto"/>
            <w:tcMar>
              <w:top w:w="80" w:type="dxa"/>
              <w:left w:w="100" w:type="dxa"/>
              <w:bottom w:w="80" w:type="dxa"/>
              <w:right w:w="100" w:type="dxa"/>
            </w:tcMar>
            <w:vAlign w:val="center"/>
          </w:tcPr>
          <w:p w14:paraId="CCAB057C">
            <w:pPr>
              <w:pStyle w:val="style0"/>
              <w:spacing w:lineRule="auto" w:line="420"/>
              <w:rPr>
                <w:rFonts w:ascii="RobotoStatic" w:cs="Zawgyi-One" w:hAnsi="Source Sans Pro"/>
              </w:rPr>
            </w:pPr>
            <w:r>
              <w:rPr>
                <w:rFonts w:ascii="RobotoStatic" w:cs="Zawgyi-One" w:hAnsi="Source Sans Pro"/>
                <w:sz w:val="18"/>
                <w:szCs w:val="18"/>
              </w:rPr>
              <w:t>C</w:t>
            </w:r>
          </w:p>
        </w:tc>
        <w:tc>
          <w:tcPr>
            <w:tcW w:w="660" w:type="dxa"/>
            <w:tcBorders/>
            <w:shd w:val="clear" w:color="auto" w:fill="auto"/>
            <w:tcMar>
              <w:top w:w="80" w:type="dxa"/>
              <w:left w:w="100" w:type="dxa"/>
              <w:bottom w:w="80" w:type="dxa"/>
              <w:right w:w="100" w:type="dxa"/>
            </w:tcMar>
            <w:vAlign w:val="center"/>
          </w:tcPr>
          <w:p w14:paraId="F4B69AF3">
            <w:pPr>
              <w:pStyle w:val="style0"/>
              <w:spacing w:lineRule="auto" w:line="420"/>
              <w:rPr>
                <w:rFonts w:ascii="RobotoStatic" w:cs="Zawgyi-One" w:hAnsi="Source Sans Pro"/>
              </w:rPr>
            </w:pPr>
            <w:r>
              <w:rPr>
                <w:rFonts w:ascii="RobotoStatic" w:cs="Zawgyi-One" w:hAnsi="Source Sans Pro"/>
                <w:sz w:val="18"/>
                <w:szCs w:val="18"/>
              </w:rPr>
              <w:t>I</w:t>
            </w:r>
          </w:p>
        </w:tc>
        <w:tc>
          <w:tcPr>
            <w:tcW w:w="620" w:type="dxa"/>
            <w:tcBorders/>
            <w:shd w:val="clear" w:color="auto" w:fill="auto"/>
            <w:tcMar>
              <w:top w:w="80" w:type="dxa"/>
              <w:left w:w="100" w:type="dxa"/>
              <w:bottom w:w="80" w:type="dxa"/>
              <w:right w:w="100" w:type="dxa"/>
            </w:tcMar>
            <w:vAlign w:val="center"/>
          </w:tcPr>
          <w:p w14:paraId="2377593E">
            <w:pPr>
              <w:pStyle w:val="style0"/>
              <w:spacing w:lineRule="auto" w:line="420"/>
              <w:rPr>
                <w:rFonts w:ascii="RobotoStatic" w:cs="Zawgyi-One" w:hAnsi="Source Sans Pro"/>
              </w:rPr>
            </w:pPr>
            <w:r>
              <w:rPr>
                <w:rFonts w:ascii="RobotoStatic" w:cs="Zawgyi-One" w:hAnsi="Source Sans Pro"/>
                <w:sz w:val="18"/>
                <w:szCs w:val="18"/>
              </w:rPr>
              <w:t>I</w:t>
            </w:r>
          </w:p>
        </w:tc>
        <w:tc>
          <w:tcPr>
            <w:tcW w:w="620" w:type="dxa"/>
            <w:tcBorders/>
            <w:shd w:val="clear" w:color="auto" w:fill="auto"/>
            <w:tcMar>
              <w:top w:w="80" w:type="dxa"/>
              <w:left w:w="100" w:type="dxa"/>
              <w:bottom w:w="80" w:type="dxa"/>
              <w:right w:w="100" w:type="dxa"/>
            </w:tcMar>
            <w:vAlign w:val="center"/>
          </w:tcPr>
          <w:p w14:paraId="9CF91946">
            <w:pPr>
              <w:pStyle w:val="style0"/>
              <w:spacing w:lineRule="auto" w:line="420"/>
              <w:rPr>
                <w:rFonts w:ascii="RobotoStatic" w:cs="Zawgyi-One" w:hAnsi="Source Sans Pro"/>
              </w:rPr>
            </w:pPr>
            <w:r>
              <w:rPr>
                <w:rFonts w:ascii="RobotoStatic" w:cs="Zawgyi-One" w:hAnsi="Source Sans Pro"/>
                <w:sz w:val="18"/>
                <w:szCs w:val="18"/>
              </w:rPr>
              <w:t>R</w:t>
            </w:r>
          </w:p>
        </w:tc>
        <w:tc>
          <w:tcPr>
            <w:tcW w:w="640" w:type="dxa"/>
            <w:tcBorders/>
            <w:shd w:val="clear" w:color="auto" w:fill="auto"/>
            <w:tcMar>
              <w:top w:w="80" w:type="dxa"/>
              <w:left w:w="100" w:type="dxa"/>
              <w:bottom w:w="80" w:type="dxa"/>
              <w:right w:w="100" w:type="dxa"/>
            </w:tcMar>
            <w:vAlign w:val="center"/>
          </w:tcPr>
          <w:p w14:paraId="18BA1330">
            <w:pPr>
              <w:pStyle w:val="style0"/>
              <w:spacing w:lineRule="auto" w:line="420"/>
              <w:rPr>
                <w:rFonts w:ascii="RobotoStatic" w:cs="Zawgyi-One" w:hAnsi="Source Sans Pro"/>
              </w:rPr>
            </w:pPr>
            <w:r>
              <w:rPr>
                <w:rFonts w:ascii="RobotoStatic" w:cs="Zawgyi-One" w:hAnsi="Source Sans Pro"/>
                <w:sz w:val="18"/>
                <w:szCs w:val="18"/>
              </w:rPr>
              <w:t>C</w:t>
            </w:r>
          </w:p>
        </w:tc>
      </w:tr>
      <w:tr w14:paraId="094197F1">
        <w:tblPrEx/>
        <w:trPr/>
        <w:tc>
          <w:tcPr>
            <w:tcW w:w="2560" w:type="dxa"/>
            <w:tcBorders/>
            <w:shd w:val="clear" w:color="auto" w:fill="auto"/>
            <w:tcMar>
              <w:top w:w="80" w:type="dxa"/>
              <w:left w:w="100" w:type="dxa"/>
              <w:bottom w:w="80" w:type="dxa"/>
              <w:right w:w="100" w:type="dxa"/>
            </w:tcMar>
            <w:vAlign w:val="center"/>
          </w:tcPr>
          <w:p w14:paraId="4EA85CE0">
            <w:pPr>
              <w:pStyle w:val="style0"/>
              <w:spacing w:lineRule="auto" w:line="420"/>
              <w:rPr>
                <w:rFonts w:ascii="RobotoStatic" w:cs="Zawgyi-One" w:hAnsi="Source Sans Pro"/>
              </w:rPr>
            </w:pPr>
            <w:r>
              <w:rPr>
                <w:rFonts w:ascii="RobotoStatic" w:cs="Zawgyi-One" w:hAnsi="Source Sans Pro"/>
                <w:sz w:val="18"/>
                <w:szCs w:val="18"/>
              </w:rPr>
              <w:t>Material incident escalation</w:t>
            </w:r>
          </w:p>
        </w:tc>
        <w:tc>
          <w:tcPr>
            <w:tcW w:w="700" w:type="dxa"/>
            <w:tcBorders/>
            <w:shd w:val="clear" w:color="auto" w:fill="auto"/>
            <w:tcMar>
              <w:top w:w="80" w:type="dxa"/>
              <w:left w:w="100" w:type="dxa"/>
              <w:bottom w:w="80" w:type="dxa"/>
              <w:right w:w="100" w:type="dxa"/>
            </w:tcMar>
            <w:vAlign w:val="center"/>
          </w:tcPr>
          <w:p w14:paraId="4BB00177">
            <w:pPr>
              <w:pStyle w:val="style0"/>
              <w:spacing w:lineRule="auto" w:line="420"/>
              <w:rPr>
                <w:rFonts w:ascii="RobotoStatic" w:cs="Zawgyi-One" w:hAnsi="Source Sans Pro"/>
              </w:rPr>
            </w:pPr>
            <w:r>
              <w:rPr>
                <w:rFonts w:ascii="RobotoStatic" w:cs="Zawgyi-One" w:hAnsi="Source Sans Pro"/>
                <w:sz w:val="18"/>
                <w:szCs w:val="18"/>
              </w:rPr>
              <w:t>A</w:t>
            </w:r>
          </w:p>
        </w:tc>
        <w:tc>
          <w:tcPr>
            <w:tcW w:w="660" w:type="dxa"/>
            <w:tcBorders/>
            <w:shd w:val="clear" w:color="auto" w:fill="auto"/>
            <w:tcMar>
              <w:top w:w="80" w:type="dxa"/>
              <w:left w:w="100" w:type="dxa"/>
              <w:bottom w:w="80" w:type="dxa"/>
              <w:right w:w="100" w:type="dxa"/>
            </w:tcMar>
            <w:vAlign w:val="center"/>
          </w:tcPr>
          <w:p w14:paraId="C29E35CE">
            <w:pPr>
              <w:pStyle w:val="style0"/>
              <w:spacing w:lineRule="auto" w:line="420"/>
              <w:rPr>
                <w:rFonts w:ascii="RobotoStatic" w:cs="Zawgyi-One" w:hAnsi="Source Sans Pro"/>
              </w:rPr>
            </w:pPr>
            <w:r>
              <w:rPr>
                <w:rFonts w:ascii="RobotoStatic" w:cs="Zawgyi-One" w:hAnsi="Source Sans Pro"/>
                <w:sz w:val="18"/>
                <w:szCs w:val="18"/>
              </w:rPr>
              <w:t>A</w:t>
            </w:r>
          </w:p>
        </w:tc>
        <w:tc>
          <w:tcPr>
            <w:tcW w:w="660" w:type="dxa"/>
            <w:tcBorders/>
            <w:shd w:val="clear" w:color="auto" w:fill="auto"/>
            <w:tcMar>
              <w:top w:w="80" w:type="dxa"/>
              <w:left w:w="100" w:type="dxa"/>
              <w:bottom w:w="80" w:type="dxa"/>
              <w:right w:w="100" w:type="dxa"/>
            </w:tcMar>
            <w:vAlign w:val="center"/>
          </w:tcPr>
          <w:p w14:paraId="37C75CAF">
            <w:pPr>
              <w:pStyle w:val="style0"/>
              <w:spacing w:lineRule="auto" w:line="420"/>
              <w:rPr>
                <w:rFonts w:ascii="RobotoStatic" w:cs="Zawgyi-One" w:hAnsi="Source Sans Pro"/>
              </w:rPr>
            </w:pPr>
            <w:r>
              <w:rPr>
                <w:rFonts w:ascii="RobotoStatic" w:cs="Zawgyi-One" w:hAnsi="Source Sans Pro"/>
                <w:sz w:val="18"/>
                <w:szCs w:val="18"/>
              </w:rPr>
              <w:t>R</w:t>
            </w:r>
          </w:p>
        </w:tc>
        <w:tc>
          <w:tcPr>
            <w:tcW w:w="660" w:type="dxa"/>
            <w:tcBorders/>
            <w:shd w:val="clear" w:color="auto" w:fill="auto"/>
            <w:tcMar>
              <w:top w:w="80" w:type="dxa"/>
              <w:left w:w="100" w:type="dxa"/>
              <w:bottom w:w="80" w:type="dxa"/>
              <w:right w:w="100" w:type="dxa"/>
            </w:tcMar>
            <w:vAlign w:val="center"/>
          </w:tcPr>
          <w:p w14:paraId="007D077B">
            <w:pPr>
              <w:pStyle w:val="style0"/>
              <w:spacing w:lineRule="auto" w:line="420"/>
              <w:rPr>
                <w:rFonts w:ascii="RobotoStatic" w:cs="Zawgyi-One" w:hAnsi="Source Sans Pro"/>
              </w:rPr>
            </w:pPr>
            <w:r>
              <w:rPr>
                <w:rFonts w:ascii="RobotoStatic" w:cs="Zawgyi-One" w:hAnsi="Source Sans Pro"/>
                <w:sz w:val="18"/>
                <w:szCs w:val="18"/>
              </w:rPr>
              <w:t>C</w:t>
            </w:r>
          </w:p>
        </w:tc>
        <w:tc>
          <w:tcPr>
            <w:tcW w:w="640" w:type="dxa"/>
            <w:tcBorders/>
            <w:shd w:val="clear" w:color="auto" w:fill="auto"/>
            <w:tcMar>
              <w:top w:w="80" w:type="dxa"/>
              <w:left w:w="100" w:type="dxa"/>
              <w:bottom w:w="80" w:type="dxa"/>
              <w:right w:w="100" w:type="dxa"/>
            </w:tcMar>
            <w:vAlign w:val="center"/>
          </w:tcPr>
          <w:p w14:paraId="E471A0C7">
            <w:pPr>
              <w:pStyle w:val="style0"/>
              <w:spacing w:lineRule="auto" w:line="420"/>
              <w:rPr>
                <w:rFonts w:ascii="RobotoStatic" w:cs="Zawgyi-One" w:hAnsi="Source Sans Pro"/>
              </w:rPr>
            </w:pPr>
            <w:r>
              <w:rPr>
                <w:rFonts w:ascii="RobotoStatic" w:cs="Zawgyi-One" w:hAnsi="Source Sans Pro"/>
                <w:sz w:val="18"/>
                <w:szCs w:val="18"/>
              </w:rPr>
              <w:t>C</w:t>
            </w:r>
          </w:p>
        </w:tc>
        <w:tc>
          <w:tcPr>
            <w:tcW w:w="660" w:type="dxa"/>
            <w:tcBorders/>
            <w:shd w:val="clear" w:color="auto" w:fill="auto"/>
            <w:tcMar>
              <w:top w:w="80" w:type="dxa"/>
              <w:left w:w="100" w:type="dxa"/>
              <w:bottom w:w="80" w:type="dxa"/>
              <w:right w:w="100" w:type="dxa"/>
            </w:tcMar>
            <w:vAlign w:val="center"/>
          </w:tcPr>
          <w:p w14:paraId="5CD56076">
            <w:pPr>
              <w:pStyle w:val="style0"/>
              <w:spacing w:lineRule="auto" w:line="420"/>
              <w:rPr>
                <w:rFonts w:ascii="RobotoStatic" w:cs="Zawgyi-One" w:hAnsi="Source Sans Pro"/>
              </w:rPr>
            </w:pPr>
            <w:r>
              <w:rPr>
                <w:rFonts w:ascii="RobotoStatic" w:cs="Zawgyi-One" w:hAnsi="Source Sans Pro"/>
                <w:sz w:val="18"/>
                <w:szCs w:val="18"/>
              </w:rPr>
              <w:t>I</w:t>
            </w:r>
          </w:p>
        </w:tc>
        <w:tc>
          <w:tcPr>
            <w:tcW w:w="620" w:type="dxa"/>
            <w:tcBorders/>
            <w:shd w:val="clear" w:color="auto" w:fill="auto"/>
            <w:tcMar>
              <w:top w:w="80" w:type="dxa"/>
              <w:left w:w="100" w:type="dxa"/>
              <w:bottom w:w="80" w:type="dxa"/>
              <w:right w:w="100" w:type="dxa"/>
            </w:tcMar>
            <w:vAlign w:val="center"/>
          </w:tcPr>
          <w:p w14:paraId="A1C48E88">
            <w:pPr>
              <w:pStyle w:val="style0"/>
              <w:spacing w:lineRule="auto" w:line="420"/>
              <w:rPr>
                <w:rFonts w:ascii="RobotoStatic" w:cs="Zawgyi-One" w:hAnsi="Source Sans Pro"/>
              </w:rPr>
            </w:pPr>
            <w:r>
              <w:rPr>
                <w:rFonts w:ascii="RobotoStatic" w:cs="Zawgyi-One" w:hAnsi="Source Sans Pro"/>
                <w:sz w:val="18"/>
                <w:szCs w:val="18"/>
              </w:rPr>
              <w:t>I</w:t>
            </w:r>
          </w:p>
        </w:tc>
        <w:tc>
          <w:tcPr>
            <w:tcW w:w="620" w:type="dxa"/>
            <w:tcBorders/>
            <w:shd w:val="clear" w:color="auto" w:fill="auto"/>
            <w:tcMar>
              <w:top w:w="80" w:type="dxa"/>
              <w:left w:w="100" w:type="dxa"/>
              <w:bottom w:w="80" w:type="dxa"/>
              <w:right w:w="100" w:type="dxa"/>
            </w:tcMar>
            <w:vAlign w:val="center"/>
          </w:tcPr>
          <w:p w14:paraId="3DDB478D">
            <w:pPr>
              <w:pStyle w:val="style0"/>
              <w:spacing w:lineRule="auto" w:line="420"/>
              <w:rPr>
                <w:rFonts w:ascii="RobotoStatic" w:cs="Zawgyi-One" w:hAnsi="Source Sans Pro"/>
              </w:rPr>
            </w:pPr>
            <w:r>
              <w:rPr>
                <w:rFonts w:ascii="RobotoStatic" w:cs="Zawgyi-One" w:hAnsi="Source Sans Pro"/>
                <w:sz w:val="18"/>
                <w:szCs w:val="18"/>
              </w:rPr>
              <w:t>C</w:t>
            </w:r>
          </w:p>
        </w:tc>
        <w:tc>
          <w:tcPr>
            <w:tcW w:w="640" w:type="dxa"/>
            <w:tcBorders/>
            <w:shd w:val="clear" w:color="auto" w:fill="auto"/>
            <w:tcMar>
              <w:top w:w="80" w:type="dxa"/>
              <w:left w:w="100" w:type="dxa"/>
              <w:bottom w:w="80" w:type="dxa"/>
              <w:right w:w="100" w:type="dxa"/>
            </w:tcMar>
            <w:vAlign w:val="center"/>
          </w:tcPr>
          <w:p w14:paraId="3AA3995F">
            <w:pPr>
              <w:pStyle w:val="style0"/>
              <w:spacing w:lineRule="auto" w:line="420"/>
              <w:rPr>
                <w:rFonts w:ascii="RobotoStatic" w:cs="Zawgyi-One" w:hAnsi="Source Sans Pro"/>
              </w:rPr>
            </w:pPr>
            <w:r>
              <w:rPr>
                <w:rFonts w:ascii="RobotoStatic" w:cs="Zawgyi-One" w:hAnsi="Source Sans Pro"/>
                <w:sz w:val="18"/>
                <w:szCs w:val="18"/>
              </w:rPr>
              <w:t>C</w:t>
            </w:r>
          </w:p>
        </w:tc>
      </w:tr>
      <w:tr w14:paraId="76C1647C">
        <w:tblPrEx/>
        <w:trPr/>
        <w:tc>
          <w:tcPr>
            <w:tcW w:w="2560" w:type="dxa"/>
            <w:tcBorders/>
            <w:shd w:val="clear" w:color="auto" w:fill="auto"/>
            <w:tcMar>
              <w:top w:w="80" w:type="dxa"/>
              <w:left w:w="100" w:type="dxa"/>
              <w:bottom w:w="80" w:type="dxa"/>
              <w:right w:w="100" w:type="dxa"/>
            </w:tcMar>
            <w:vAlign w:val="center"/>
          </w:tcPr>
          <w:p w14:paraId="D864564F">
            <w:pPr>
              <w:pStyle w:val="style0"/>
              <w:spacing w:lineRule="auto" w:line="420"/>
              <w:rPr>
                <w:rFonts w:ascii="RobotoStatic" w:cs="Zawgyi-One" w:hAnsi="Source Sans Pro"/>
              </w:rPr>
            </w:pPr>
            <w:r>
              <w:rPr>
                <w:rFonts w:ascii="RobotoStatic" w:cs="Zawgyi-One" w:hAnsi="Source Sans Pro"/>
                <w:sz w:val="18"/>
                <w:szCs w:val="18"/>
              </w:rPr>
              <w:t>Regulatory notification decision</w:t>
            </w:r>
          </w:p>
        </w:tc>
        <w:tc>
          <w:tcPr>
            <w:tcW w:w="700" w:type="dxa"/>
            <w:tcBorders/>
            <w:shd w:val="clear" w:color="auto" w:fill="auto"/>
            <w:tcMar>
              <w:top w:w="80" w:type="dxa"/>
              <w:left w:w="100" w:type="dxa"/>
              <w:bottom w:w="80" w:type="dxa"/>
              <w:right w:w="100" w:type="dxa"/>
            </w:tcMar>
            <w:vAlign w:val="center"/>
          </w:tcPr>
          <w:p w14:paraId="2F88FD14">
            <w:pPr>
              <w:pStyle w:val="style0"/>
              <w:spacing w:lineRule="auto" w:line="420"/>
              <w:rPr>
                <w:rFonts w:ascii="RobotoStatic" w:cs="Zawgyi-One" w:hAnsi="Source Sans Pro"/>
              </w:rPr>
            </w:pPr>
            <w:r>
              <w:rPr>
                <w:rFonts w:ascii="RobotoStatic" w:cs="Zawgyi-One" w:hAnsi="Source Sans Pro"/>
                <w:sz w:val="18"/>
                <w:szCs w:val="18"/>
              </w:rPr>
              <w:t>I</w:t>
            </w:r>
          </w:p>
        </w:tc>
        <w:tc>
          <w:tcPr>
            <w:tcW w:w="660" w:type="dxa"/>
            <w:tcBorders/>
            <w:shd w:val="clear" w:color="auto" w:fill="auto"/>
            <w:tcMar>
              <w:top w:w="80" w:type="dxa"/>
              <w:left w:w="100" w:type="dxa"/>
              <w:bottom w:w="80" w:type="dxa"/>
              <w:right w:w="100" w:type="dxa"/>
            </w:tcMar>
            <w:vAlign w:val="center"/>
          </w:tcPr>
          <w:p w14:paraId="A96796A0">
            <w:pPr>
              <w:pStyle w:val="style0"/>
              <w:spacing w:lineRule="auto" w:line="420"/>
              <w:rPr>
                <w:rFonts w:ascii="RobotoStatic" w:cs="Zawgyi-One" w:hAnsi="Source Sans Pro"/>
              </w:rPr>
            </w:pPr>
            <w:r>
              <w:rPr>
                <w:rFonts w:ascii="RobotoStatic" w:cs="Zawgyi-One" w:hAnsi="Source Sans Pro"/>
                <w:sz w:val="18"/>
                <w:szCs w:val="18"/>
              </w:rPr>
              <w:t>A</w:t>
            </w:r>
          </w:p>
        </w:tc>
        <w:tc>
          <w:tcPr>
            <w:tcW w:w="660" w:type="dxa"/>
            <w:tcBorders/>
            <w:shd w:val="clear" w:color="auto" w:fill="auto"/>
            <w:tcMar>
              <w:top w:w="80" w:type="dxa"/>
              <w:left w:w="100" w:type="dxa"/>
              <w:bottom w:w="80" w:type="dxa"/>
              <w:right w:w="100" w:type="dxa"/>
            </w:tcMar>
            <w:vAlign w:val="center"/>
          </w:tcPr>
          <w:p w14:paraId="A9A793F7">
            <w:pPr>
              <w:pStyle w:val="style0"/>
              <w:spacing w:lineRule="auto" w:line="420"/>
              <w:rPr>
                <w:rFonts w:ascii="RobotoStatic" w:cs="Zawgyi-One" w:hAnsi="Source Sans Pro"/>
              </w:rPr>
            </w:pPr>
            <w:r>
              <w:rPr>
                <w:rFonts w:ascii="RobotoStatic" w:cs="Zawgyi-One" w:hAnsi="Source Sans Pro"/>
                <w:sz w:val="18"/>
                <w:szCs w:val="18"/>
              </w:rPr>
              <w:t>C</w:t>
            </w:r>
          </w:p>
        </w:tc>
        <w:tc>
          <w:tcPr>
            <w:tcW w:w="660" w:type="dxa"/>
            <w:tcBorders/>
            <w:shd w:val="clear" w:color="auto" w:fill="auto"/>
            <w:tcMar>
              <w:top w:w="80" w:type="dxa"/>
              <w:left w:w="100" w:type="dxa"/>
              <w:bottom w:w="80" w:type="dxa"/>
              <w:right w:w="100" w:type="dxa"/>
            </w:tcMar>
            <w:vAlign w:val="center"/>
          </w:tcPr>
          <w:p w14:paraId="AB010124">
            <w:pPr>
              <w:pStyle w:val="style0"/>
              <w:spacing w:lineRule="auto" w:line="420"/>
              <w:rPr>
                <w:rFonts w:ascii="RobotoStatic" w:cs="Zawgyi-One" w:hAnsi="Source Sans Pro"/>
              </w:rPr>
            </w:pPr>
            <w:r>
              <w:rPr>
                <w:rFonts w:ascii="RobotoStatic" w:cs="Zawgyi-One" w:hAnsi="Source Sans Pro"/>
                <w:sz w:val="18"/>
                <w:szCs w:val="18"/>
              </w:rPr>
              <w:t>C</w:t>
            </w:r>
          </w:p>
        </w:tc>
        <w:tc>
          <w:tcPr>
            <w:tcW w:w="640" w:type="dxa"/>
            <w:tcBorders/>
            <w:shd w:val="clear" w:color="auto" w:fill="auto"/>
            <w:tcMar>
              <w:top w:w="80" w:type="dxa"/>
              <w:left w:w="100" w:type="dxa"/>
              <w:bottom w:w="80" w:type="dxa"/>
              <w:right w:w="100" w:type="dxa"/>
            </w:tcMar>
            <w:vAlign w:val="center"/>
          </w:tcPr>
          <w:p w14:paraId="20D1F210">
            <w:pPr>
              <w:pStyle w:val="style0"/>
              <w:spacing w:lineRule="auto" w:line="420"/>
              <w:rPr>
                <w:rFonts w:ascii="RobotoStatic" w:cs="Zawgyi-One" w:hAnsi="Source Sans Pro"/>
              </w:rPr>
            </w:pPr>
            <w:r>
              <w:rPr>
                <w:rFonts w:ascii="RobotoStatic" w:cs="Zawgyi-One" w:hAnsi="Source Sans Pro"/>
                <w:sz w:val="18"/>
                <w:szCs w:val="18"/>
              </w:rPr>
              <w:t>R</w:t>
            </w:r>
          </w:p>
        </w:tc>
        <w:tc>
          <w:tcPr>
            <w:tcW w:w="660" w:type="dxa"/>
            <w:tcBorders/>
            <w:shd w:val="clear" w:color="auto" w:fill="auto"/>
            <w:tcMar>
              <w:top w:w="80" w:type="dxa"/>
              <w:left w:w="100" w:type="dxa"/>
              <w:bottom w:w="80" w:type="dxa"/>
              <w:right w:w="100" w:type="dxa"/>
            </w:tcMar>
            <w:vAlign w:val="center"/>
          </w:tcPr>
          <w:p w14:paraId="4BE9AB7B">
            <w:pPr>
              <w:pStyle w:val="style0"/>
              <w:spacing w:lineRule="auto" w:line="420"/>
              <w:rPr>
                <w:rFonts w:ascii="RobotoStatic" w:cs="Zawgyi-One" w:hAnsi="Source Sans Pro"/>
              </w:rPr>
            </w:pPr>
            <w:r>
              <w:rPr>
                <w:rFonts w:ascii="RobotoStatic" w:cs="Zawgyi-One" w:hAnsi="Source Sans Pro"/>
                <w:sz w:val="18"/>
                <w:szCs w:val="18"/>
              </w:rPr>
              <w:t>I</w:t>
            </w:r>
          </w:p>
        </w:tc>
        <w:tc>
          <w:tcPr>
            <w:tcW w:w="620" w:type="dxa"/>
            <w:tcBorders/>
            <w:shd w:val="clear" w:color="auto" w:fill="auto"/>
            <w:tcMar>
              <w:top w:w="80" w:type="dxa"/>
              <w:left w:w="100" w:type="dxa"/>
              <w:bottom w:w="80" w:type="dxa"/>
              <w:right w:w="100" w:type="dxa"/>
            </w:tcMar>
            <w:vAlign w:val="center"/>
          </w:tcPr>
          <w:p w14:paraId="A48A7CC2">
            <w:pPr>
              <w:pStyle w:val="style0"/>
              <w:spacing w:lineRule="auto" w:line="420"/>
              <w:rPr>
                <w:rFonts w:ascii="RobotoStatic" w:cs="Zawgyi-One" w:hAnsi="Source Sans Pro"/>
              </w:rPr>
            </w:pPr>
            <w:r>
              <w:rPr>
                <w:rFonts w:ascii="RobotoStatic" w:cs="Zawgyi-One" w:hAnsi="Source Sans Pro"/>
                <w:sz w:val="18"/>
                <w:szCs w:val="18"/>
              </w:rPr>
              <w:t>I</w:t>
            </w:r>
          </w:p>
        </w:tc>
        <w:tc>
          <w:tcPr>
            <w:tcW w:w="620" w:type="dxa"/>
            <w:tcBorders/>
            <w:shd w:val="clear" w:color="auto" w:fill="auto"/>
            <w:tcMar>
              <w:top w:w="80" w:type="dxa"/>
              <w:left w:w="100" w:type="dxa"/>
              <w:bottom w:w="80" w:type="dxa"/>
              <w:right w:w="100" w:type="dxa"/>
            </w:tcMar>
            <w:vAlign w:val="center"/>
          </w:tcPr>
          <w:p w14:paraId="821BC49B">
            <w:pPr>
              <w:pStyle w:val="style0"/>
              <w:spacing w:lineRule="auto" w:line="420"/>
              <w:rPr>
                <w:rFonts w:ascii="RobotoStatic" w:cs="Zawgyi-One" w:hAnsi="Source Sans Pro"/>
              </w:rPr>
            </w:pPr>
            <w:r>
              <w:rPr>
                <w:rFonts w:ascii="RobotoStatic" w:cs="Zawgyi-One" w:hAnsi="Source Sans Pro"/>
                <w:sz w:val="18"/>
                <w:szCs w:val="18"/>
              </w:rPr>
              <w:t>I</w:t>
            </w:r>
          </w:p>
        </w:tc>
        <w:tc>
          <w:tcPr>
            <w:tcW w:w="640" w:type="dxa"/>
            <w:tcBorders/>
            <w:shd w:val="clear" w:color="auto" w:fill="auto"/>
            <w:tcMar>
              <w:top w:w="80" w:type="dxa"/>
              <w:left w:w="100" w:type="dxa"/>
              <w:bottom w:w="80" w:type="dxa"/>
              <w:right w:w="100" w:type="dxa"/>
            </w:tcMar>
            <w:vAlign w:val="center"/>
          </w:tcPr>
          <w:p w14:paraId="96EECBA6">
            <w:pPr>
              <w:pStyle w:val="style0"/>
              <w:spacing w:lineRule="auto" w:line="420"/>
              <w:rPr>
                <w:rFonts w:ascii="RobotoStatic" w:cs="Zawgyi-One" w:hAnsi="Source Sans Pro"/>
              </w:rPr>
            </w:pPr>
            <w:r>
              <w:rPr>
                <w:rFonts w:ascii="RobotoStatic" w:cs="Zawgyi-One" w:hAnsi="Source Sans Pro"/>
                <w:sz w:val="18"/>
                <w:szCs w:val="18"/>
              </w:rPr>
              <w:t>I</w:t>
            </w:r>
          </w:p>
        </w:tc>
      </w:tr>
      <w:tr w14:paraId="723B80C2">
        <w:tblPrEx/>
        <w:trPr/>
        <w:tc>
          <w:tcPr>
            <w:tcW w:w="2560" w:type="dxa"/>
            <w:tcBorders/>
            <w:shd w:val="clear" w:color="auto" w:fill="auto"/>
            <w:tcMar>
              <w:top w:w="80" w:type="dxa"/>
              <w:left w:w="100" w:type="dxa"/>
              <w:bottom w:w="80" w:type="dxa"/>
              <w:right w:w="100" w:type="dxa"/>
            </w:tcMar>
            <w:vAlign w:val="center"/>
          </w:tcPr>
          <w:p w14:paraId="686B7E38">
            <w:pPr>
              <w:pStyle w:val="style0"/>
              <w:spacing w:lineRule="auto" w:line="420"/>
              <w:rPr>
                <w:rFonts w:ascii="RobotoStatic" w:cs="Zawgyi-One" w:hAnsi="Source Sans Pro"/>
              </w:rPr>
            </w:pPr>
            <w:r>
              <w:rPr>
                <w:rFonts w:ascii="RobotoStatic" w:cs="Zawgyi-One" w:hAnsi="Source Sans Pro"/>
                <w:sz w:val="18"/>
                <w:szCs w:val="18"/>
              </w:rPr>
              <w:t>Security awareness programme</w:t>
            </w:r>
          </w:p>
        </w:tc>
        <w:tc>
          <w:tcPr>
            <w:tcW w:w="700" w:type="dxa"/>
            <w:tcBorders/>
            <w:shd w:val="clear" w:color="auto" w:fill="auto"/>
            <w:tcMar>
              <w:top w:w="80" w:type="dxa"/>
              <w:left w:w="100" w:type="dxa"/>
              <w:bottom w:w="80" w:type="dxa"/>
              <w:right w:w="100" w:type="dxa"/>
            </w:tcMar>
            <w:vAlign w:val="center"/>
          </w:tcPr>
          <w:p w14:paraId="D0CBA540">
            <w:pPr>
              <w:pStyle w:val="style0"/>
              <w:spacing w:lineRule="auto" w:line="420"/>
              <w:rPr>
                <w:rFonts w:ascii="RobotoStatic" w:cs="Zawgyi-One" w:hAnsi="Source Sans Pro"/>
              </w:rPr>
            </w:pPr>
            <w:r>
              <w:rPr>
                <w:rFonts w:ascii="RobotoStatic" w:cs="Zawgyi-One" w:hAnsi="Source Sans Pro"/>
                <w:sz w:val="18"/>
                <w:szCs w:val="18"/>
              </w:rPr>
              <w:t>I</w:t>
            </w:r>
          </w:p>
        </w:tc>
        <w:tc>
          <w:tcPr>
            <w:tcW w:w="660" w:type="dxa"/>
            <w:tcBorders/>
            <w:shd w:val="clear" w:color="auto" w:fill="auto"/>
            <w:tcMar>
              <w:top w:w="80" w:type="dxa"/>
              <w:left w:w="100" w:type="dxa"/>
              <w:bottom w:w="80" w:type="dxa"/>
              <w:right w:w="100" w:type="dxa"/>
            </w:tcMar>
            <w:vAlign w:val="center"/>
          </w:tcPr>
          <w:p w14:paraId="8C1DFAA2">
            <w:pPr>
              <w:pStyle w:val="style0"/>
              <w:spacing w:lineRule="auto" w:line="420"/>
              <w:rPr>
                <w:rFonts w:ascii="RobotoStatic" w:cs="Zawgyi-One" w:hAnsi="Source Sans Pro"/>
              </w:rPr>
            </w:pPr>
            <w:r>
              <w:rPr>
                <w:rFonts w:ascii="RobotoStatic" w:cs="Zawgyi-One" w:hAnsi="Source Sans Pro"/>
                <w:sz w:val="18"/>
                <w:szCs w:val="18"/>
              </w:rPr>
              <w:t>I</w:t>
            </w:r>
          </w:p>
        </w:tc>
        <w:tc>
          <w:tcPr>
            <w:tcW w:w="660" w:type="dxa"/>
            <w:tcBorders/>
            <w:shd w:val="clear" w:color="auto" w:fill="auto"/>
            <w:tcMar>
              <w:top w:w="80" w:type="dxa"/>
              <w:left w:w="100" w:type="dxa"/>
              <w:bottom w:w="80" w:type="dxa"/>
              <w:right w:w="100" w:type="dxa"/>
            </w:tcMar>
            <w:vAlign w:val="center"/>
          </w:tcPr>
          <w:p w14:paraId="C418C1E1">
            <w:pPr>
              <w:pStyle w:val="style0"/>
              <w:spacing w:lineRule="auto" w:line="420"/>
              <w:rPr>
                <w:rFonts w:ascii="RobotoStatic" w:cs="Zawgyi-One" w:hAnsi="Source Sans Pro"/>
              </w:rPr>
            </w:pPr>
            <w:r>
              <w:rPr>
                <w:rFonts w:ascii="RobotoStatic" w:cs="Zawgyi-One" w:hAnsi="Source Sans Pro"/>
                <w:sz w:val="18"/>
                <w:szCs w:val="18"/>
              </w:rPr>
              <w:t>A</w:t>
            </w:r>
          </w:p>
        </w:tc>
        <w:tc>
          <w:tcPr>
            <w:tcW w:w="660" w:type="dxa"/>
            <w:tcBorders/>
            <w:shd w:val="clear" w:color="auto" w:fill="auto"/>
            <w:tcMar>
              <w:top w:w="80" w:type="dxa"/>
              <w:left w:w="100" w:type="dxa"/>
              <w:bottom w:w="80" w:type="dxa"/>
              <w:right w:w="100" w:type="dxa"/>
            </w:tcMar>
            <w:vAlign w:val="center"/>
          </w:tcPr>
          <w:p w14:paraId="83408A46">
            <w:pPr>
              <w:pStyle w:val="style0"/>
              <w:spacing w:lineRule="auto" w:line="420"/>
              <w:rPr>
                <w:rFonts w:ascii="RobotoStatic" w:cs="Zawgyi-One" w:hAnsi="Source Sans Pro"/>
              </w:rPr>
            </w:pPr>
            <w:r>
              <w:rPr>
                <w:rFonts w:ascii="RobotoStatic" w:cs="Zawgyi-One" w:hAnsi="Source Sans Pro"/>
                <w:sz w:val="18"/>
                <w:szCs w:val="18"/>
              </w:rPr>
              <w:t>I</w:t>
            </w:r>
          </w:p>
        </w:tc>
        <w:tc>
          <w:tcPr>
            <w:tcW w:w="640" w:type="dxa"/>
            <w:tcBorders/>
            <w:shd w:val="clear" w:color="auto" w:fill="auto"/>
            <w:tcMar>
              <w:top w:w="80" w:type="dxa"/>
              <w:left w:w="100" w:type="dxa"/>
              <w:bottom w:w="80" w:type="dxa"/>
              <w:right w:w="100" w:type="dxa"/>
            </w:tcMar>
            <w:vAlign w:val="center"/>
          </w:tcPr>
          <w:p w14:paraId="B362BA7D">
            <w:pPr>
              <w:pStyle w:val="style0"/>
              <w:spacing w:lineRule="auto" w:line="420"/>
              <w:rPr>
                <w:rFonts w:ascii="RobotoStatic" w:cs="Zawgyi-One" w:hAnsi="Source Sans Pro"/>
              </w:rPr>
            </w:pPr>
            <w:r>
              <w:rPr>
                <w:rFonts w:ascii="RobotoStatic" w:cs="Zawgyi-One" w:hAnsi="Source Sans Pro"/>
                <w:sz w:val="18"/>
                <w:szCs w:val="18"/>
              </w:rPr>
              <w:t>I</w:t>
            </w:r>
          </w:p>
        </w:tc>
        <w:tc>
          <w:tcPr>
            <w:tcW w:w="660" w:type="dxa"/>
            <w:tcBorders/>
            <w:shd w:val="clear" w:color="auto" w:fill="auto"/>
            <w:tcMar>
              <w:top w:w="80" w:type="dxa"/>
              <w:left w:w="100" w:type="dxa"/>
              <w:bottom w:w="80" w:type="dxa"/>
              <w:right w:w="100" w:type="dxa"/>
            </w:tcMar>
            <w:vAlign w:val="center"/>
          </w:tcPr>
          <w:p w14:paraId="06A2FC29">
            <w:pPr>
              <w:pStyle w:val="style0"/>
              <w:spacing w:lineRule="auto" w:line="420"/>
              <w:rPr>
                <w:rFonts w:ascii="RobotoStatic" w:cs="Zawgyi-One" w:hAnsi="Source Sans Pro"/>
              </w:rPr>
            </w:pPr>
            <w:r>
              <w:rPr>
                <w:rFonts w:ascii="RobotoStatic" w:cs="Zawgyi-One" w:hAnsi="Source Sans Pro"/>
                <w:sz w:val="18"/>
                <w:szCs w:val="18"/>
              </w:rPr>
              <w:t>I</w:t>
            </w:r>
          </w:p>
        </w:tc>
        <w:tc>
          <w:tcPr>
            <w:tcW w:w="620" w:type="dxa"/>
            <w:tcBorders/>
            <w:shd w:val="clear" w:color="auto" w:fill="auto"/>
            <w:tcMar>
              <w:top w:w="80" w:type="dxa"/>
              <w:left w:w="100" w:type="dxa"/>
              <w:bottom w:w="80" w:type="dxa"/>
              <w:right w:w="100" w:type="dxa"/>
            </w:tcMar>
            <w:vAlign w:val="center"/>
          </w:tcPr>
          <w:p w14:paraId="AEC9BC9B">
            <w:pPr>
              <w:pStyle w:val="style0"/>
              <w:spacing w:lineRule="auto" w:line="420"/>
              <w:rPr>
                <w:rFonts w:ascii="RobotoStatic" w:cs="Zawgyi-One" w:hAnsi="Source Sans Pro"/>
              </w:rPr>
            </w:pPr>
            <w:r>
              <w:rPr>
                <w:rFonts w:ascii="RobotoStatic" w:cs="Zawgyi-One" w:hAnsi="Source Sans Pro"/>
                <w:sz w:val="18"/>
                <w:szCs w:val="18"/>
              </w:rPr>
              <w:t>R</w:t>
            </w:r>
          </w:p>
        </w:tc>
        <w:tc>
          <w:tcPr>
            <w:tcW w:w="620" w:type="dxa"/>
            <w:tcBorders/>
            <w:shd w:val="clear" w:color="auto" w:fill="auto"/>
            <w:tcMar>
              <w:top w:w="80" w:type="dxa"/>
              <w:left w:w="100" w:type="dxa"/>
              <w:bottom w:w="80" w:type="dxa"/>
              <w:right w:w="100" w:type="dxa"/>
            </w:tcMar>
            <w:vAlign w:val="center"/>
          </w:tcPr>
          <w:p w14:paraId="170DFE3D">
            <w:pPr>
              <w:pStyle w:val="style0"/>
              <w:spacing w:lineRule="auto" w:line="420"/>
              <w:rPr>
                <w:rFonts w:ascii="RobotoStatic" w:cs="Zawgyi-One" w:hAnsi="Source Sans Pro"/>
              </w:rPr>
            </w:pPr>
            <w:r>
              <w:rPr>
                <w:rFonts w:ascii="RobotoStatic" w:cs="Zawgyi-One" w:hAnsi="Source Sans Pro"/>
                <w:sz w:val="18"/>
                <w:szCs w:val="18"/>
              </w:rPr>
              <w:t>C</w:t>
            </w:r>
          </w:p>
        </w:tc>
        <w:tc>
          <w:tcPr>
            <w:tcW w:w="640" w:type="dxa"/>
            <w:tcBorders/>
            <w:shd w:val="clear" w:color="auto" w:fill="auto"/>
            <w:tcMar>
              <w:top w:w="80" w:type="dxa"/>
              <w:left w:w="100" w:type="dxa"/>
              <w:bottom w:w="80" w:type="dxa"/>
              <w:right w:w="100" w:type="dxa"/>
            </w:tcMar>
            <w:vAlign w:val="center"/>
          </w:tcPr>
          <w:p w14:paraId="E2F84B78">
            <w:pPr>
              <w:pStyle w:val="style0"/>
              <w:spacing w:lineRule="auto" w:line="420"/>
              <w:rPr>
                <w:rFonts w:ascii="RobotoStatic" w:cs="Zawgyi-One" w:hAnsi="Source Sans Pro"/>
              </w:rPr>
            </w:pPr>
            <w:r>
              <w:rPr>
                <w:rFonts w:ascii="RobotoStatic" w:cs="Zawgyi-One" w:hAnsi="Source Sans Pro"/>
                <w:sz w:val="18"/>
                <w:szCs w:val="18"/>
              </w:rPr>
              <w:t>C</w:t>
            </w:r>
          </w:p>
        </w:tc>
      </w:tr>
      <w:tr w14:paraId="F5734BEA">
        <w:tblPrEx/>
        <w:trPr/>
        <w:tc>
          <w:tcPr>
            <w:tcW w:w="2560" w:type="dxa"/>
            <w:tcBorders/>
            <w:shd w:val="clear" w:color="auto" w:fill="auto"/>
            <w:tcMar>
              <w:top w:w="80" w:type="dxa"/>
              <w:left w:w="100" w:type="dxa"/>
              <w:bottom w:w="80" w:type="dxa"/>
              <w:right w:w="100" w:type="dxa"/>
            </w:tcMar>
            <w:vAlign w:val="center"/>
          </w:tcPr>
          <w:p w14:paraId="30992885">
            <w:pPr>
              <w:pStyle w:val="style0"/>
              <w:spacing w:lineRule="auto" w:line="420"/>
              <w:rPr>
                <w:rFonts w:ascii="RobotoStatic" w:cs="Zawgyi-One" w:hAnsi="Source Sans Pro"/>
              </w:rPr>
            </w:pPr>
            <w:r>
              <w:rPr>
                <w:rFonts w:ascii="RobotoStatic" w:cs="Zawgyi-One" w:hAnsi="Source Sans Pro"/>
                <w:sz w:val="18"/>
                <w:szCs w:val="18"/>
              </w:rPr>
              <w:t>Vulnerability remediation oversight</w:t>
            </w:r>
          </w:p>
        </w:tc>
        <w:tc>
          <w:tcPr>
            <w:tcW w:w="700" w:type="dxa"/>
            <w:tcBorders/>
            <w:shd w:val="clear" w:color="auto" w:fill="auto"/>
            <w:tcMar>
              <w:top w:w="80" w:type="dxa"/>
              <w:left w:w="100" w:type="dxa"/>
              <w:bottom w:w="80" w:type="dxa"/>
              <w:right w:w="100" w:type="dxa"/>
            </w:tcMar>
            <w:vAlign w:val="center"/>
          </w:tcPr>
          <w:p w14:paraId="888A2750">
            <w:pPr>
              <w:pStyle w:val="style0"/>
              <w:spacing w:lineRule="auto" w:line="420"/>
              <w:rPr>
                <w:rFonts w:ascii="RobotoStatic" w:cs="Zawgyi-One" w:hAnsi="Source Sans Pro"/>
              </w:rPr>
            </w:pPr>
            <w:r>
              <w:rPr>
                <w:rFonts w:ascii="RobotoStatic" w:cs="Zawgyi-One" w:hAnsi="Source Sans Pro"/>
                <w:sz w:val="18"/>
                <w:szCs w:val="18"/>
              </w:rPr>
              <w:t>I</w:t>
            </w:r>
          </w:p>
        </w:tc>
        <w:tc>
          <w:tcPr>
            <w:tcW w:w="660" w:type="dxa"/>
            <w:tcBorders/>
            <w:shd w:val="clear" w:color="auto" w:fill="auto"/>
            <w:tcMar>
              <w:top w:w="80" w:type="dxa"/>
              <w:left w:w="100" w:type="dxa"/>
              <w:bottom w:w="80" w:type="dxa"/>
              <w:right w:w="100" w:type="dxa"/>
            </w:tcMar>
            <w:vAlign w:val="center"/>
          </w:tcPr>
          <w:p w14:paraId="536F795B">
            <w:pPr>
              <w:pStyle w:val="style0"/>
              <w:spacing w:lineRule="auto" w:line="420"/>
              <w:rPr>
                <w:rFonts w:ascii="RobotoStatic" w:cs="Zawgyi-One" w:hAnsi="Source Sans Pro"/>
              </w:rPr>
            </w:pPr>
            <w:r>
              <w:rPr>
                <w:rFonts w:ascii="RobotoStatic" w:cs="Zawgyi-One" w:hAnsi="Source Sans Pro"/>
                <w:sz w:val="18"/>
                <w:szCs w:val="18"/>
              </w:rPr>
              <w:t>I</w:t>
            </w:r>
          </w:p>
        </w:tc>
        <w:tc>
          <w:tcPr>
            <w:tcW w:w="660" w:type="dxa"/>
            <w:tcBorders/>
            <w:shd w:val="clear" w:color="auto" w:fill="auto"/>
            <w:tcMar>
              <w:top w:w="80" w:type="dxa"/>
              <w:left w:w="100" w:type="dxa"/>
              <w:bottom w:w="80" w:type="dxa"/>
              <w:right w:w="100" w:type="dxa"/>
            </w:tcMar>
            <w:vAlign w:val="center"/>
          </w:tcPr>
          <w:p w14:paraId="18CC2378">
            <w:pPr>
              <w:pStyle w:val="style0"/>
              <w:spacing w:lineRule="auto" w:line="420"/>
              <w:rPr>
                <w:rFonts w:ascii="RobotoStatic" w:cs="Zawgyi-One" w:hAnsi="Source Sans Pro"/>
              </w:rPr>
            </w:pPr>
            <w:r>
              <w:rPr>
                <w:rFonts w:ascii="RobotoStatic" w:cs="Zawgyi-One" w:hAnsi="Source Sans Pro"/>
                <w:sz w:val="18"/>
                <w:szCs w:val="18"/>
              </w:rPr>
              <w:t>A</w:t>
            </w:r>
          </w:p>
        </w:tc>
        <w:tc>
          <w:tcPr>
            <w:tcW w:w="660" w:type="dxa"/>
            <w:tcBorders/>
            <w:shd w:val="clear" w:color="auto" w:fill="auto"/>
            <w:tcMar>
              <w:top w:w="80" w:type="dxa"/>
              <w:left w:w="100" w:type="dxa"/>
              <w:bottom w:w="80" w:type="dxa"/>
              <w:right w:w="100" w:type="dxa"/>
            </w:tcMar>
            <w:vAlign w:val="center"/>
          </w:tcPr>
          <w:p w14:paraId="7F99802C">
            <w:pPr>
              <w:pStyle w:val="style0"/>
              <w:spacing w:lineRule="auto" w:line="420"/>
              <w:rPr>
                <w:rFonts w:ascii="RobotoStatic" w:cs="Zawgyi-One" w:hAnsi="Source Sans Pro"/>
              </w:rPr>
            </w:pPr>
            <w:r>
              <w:rPr>
                <w:rFonts w:ascii="RobotoStatic" w:cs="Zawgyi-One" w:hAnsi="Source Sans Pro"/>
                <w:sz w:val="18"/>
                <w:szCs w:val="18"/>
              </w:rPr>
              <w:t>C</w:t>
            </w:r>
          </w:p>
        </w:tc>
        <w:tc>
          <w:tcPr>
            <w:tcW w:w="640" w:type="dxa"/>
            <w:tcBorders/>
            <w:shd w:val="clear" w:color="auto" w:fill="auto"/>
            <w:tcMar>
              <w:top w:w="80" w:type="dxa"/>
              <w:left w:w="100" w:type="dxa"/>
              <w:bottom w:w="80" w:type="dxa"/>
              <w:right w:w="100" w:type="dxa"/>
            </w:tcMar>
            <w:vAlign w:val="center"/>
          </w:tcPr>
          <w:p w14:paraId="9D4B93E8">
            <w:pPr>
              <w:pStyle w:val="style0"/>
              <w:spacing w:lineRule="auto" w:line="420"/>
              <w:rPr>
                <w:rFonts w:ascii="RobotoStatic" w:cs="Zawgyi-One" w:hAnsi="Source Sans Pro"/>
              </w:rPr>
            </w:pPr>
            <w:r>
              <w:rPr>
                <w:rFonts w:ascii="RobotoStatic" w:cs="Zawgyi-One" w:hAnsi="Source Sans Pro"/>
                <w:sz w:val="18"/>
                <w:szCs w:val="18"/>
              </w:rPr>
              <w:t>I</w:t>
            </w:r>
          </w:p>
        </w:tc>
        <w:tc>
          <w:tcPr>
            <w:tcW w:w="660" w:type="dxa"/>
            <w:tcBorders/>
            <w:shd w:val="clear" w:color="auto" w:fill="auto"/>
            <w:tcMar>
              <w:top w:w="80" w:type="dxa"/>
              <w:left w:w="100" w:type="dxa"/>
              <w:bottom w:w="80" w:type="dxa"/>
              <w:right w:w="100" w:type="dxa"/>
            </w:tcMar>
            <w:vAlign w:val="center"/>
          </w:tcPr>
          <w:p w14:paraId="CBDED1EB">
            <w:pPr>
              <w:pStyle w:val="style0"/>
              <w:spacing w:lineRule="auto" w:line="420"/>
              <w:rPr>
                <w:rFonts w:ascii="RobotoStatic" w:cs="Zawgyi-One" w:hAnsi="Source Sans Pro"/>
              </w:rPr>
            </w:pPr>
            <w:r>
              <w:rPr>
                <w:rFonts w:ascii="RobotoStatic" w:cs="Zawgyi-One" w:hAnsi="Source Sans Pro"/>
                <w:sz w:val="18"/>
                <w:szCs w:val="18"/>
              </w:rPr>
              <w:t>I</w:t>
            </w:r>
          </w:p>
        </w:tc>
        <w:tc>
          <w:tcPr>
            <w:tcW w:w="620" w:type="dxa"/>
            <w:tcBorders/>
            <w:shd w:val="clear" w:color="auto" w:fill="auto"/>
            <w:tcMar>
              <w:top w:w="80" w:type="dxa"/>
              <w:left w:w="100" w:type="dxa"/>
              <w:bottom w:w="80" w:type="dxa"/>
              <w:right w:w="100" w:type="dxa"/>
            </w:tcMar>
            <w:vAlign w:val="center"/>
          </w:tcPr>
          <w:p w14:paraId="7A44D2F9">
            <w:pPr>
              <w:pStyle w:val="style0"/>
              <w:spacing w:lineRule="auto" w:line="420"/>
              <w:rPr>
                <w:rFonts w:ascii="RobotoStatic" w:cs="Zawgyi-One" w:hAnsi="Source Sans Pro"/>
              </w:rPr>
            </w:pPr>
            <w:r>
              <w:rPr>
                <w:rFonts w:ascii="RobotoStatic" w:cs="Zawgyi-One" w:hAnsi="Source Sans Pro"/>
                <w:sz w:val="18"/>
                <w:szCs w:val="18"/>
              </w:rPr>
              <w:t>I</w:t>
            </w:r>
          </w:p>
        </w:tc>
        <w:tc>
          <w:tcPr>
            <w:tcW w:w="620" w:type="dxa"/>
            <w:tcBorders/>
            <w:shd w:val="clear" w:color="auto" w:fill="auto"/>
            <w:tcMar>
              <w:top w:w="80" w:type="dxa"/>
              <w:left w:w="100" w:type="dxa"/>
              <w:bottom w:w="80" w:type="dxa"/>
              <w:right w:w="100" w:type="dxa"/>
            </w:tcMar>
            <w:vAlign w:val="center"/>
          </w:tcPr>
          <w:p w14:paraId="8A0754BC">
            <w:pPr>
              <w:pStyle w:val="style0"/>
              <w:spacing w:lineRule="auto" w:line="420"/>
              <w:rPr>
                <w:rFonts w:ascii="RobotoStatic" w:cs="Zawgyi-One" w:hAnsi="Source Sans Pro"/>
              </w:rPr>
            </w:pPr>
            <w:r>
              <w:rPr>
                <w:rFonts w:ascii="RobotoStatic" w:cs="Zawgyi-One" w:hAnsi="Source Sans Pro"/>
                <w:sz w:val="18"/>
                <w:szCs w:val="18"/>
              </w:rPr>
              <w:t>R</w:t>
            </w:r>
          </w:p>
        </w:tc>
        <w:tc>
          <w:tcPr>
            <w:tcW w:w="640" w:type="dxa"/>
            <w:tcBorders/>
            <w:shd w:val="clear" w:color="auto" w:fill="auto"/>
            <w:tcMar>
              <w:top w:w="80" w:type="dxa"/>
              <w:left w:w="100" w:type="dxa"/>
              <w:bottom w:w="80" w:type="dxa"/>
              <w:right w:w="100" w:type="dxa"/>
            </w:tcMar>
            <w:vAlign w:val="center"/>
          </w:tcPr>
          <w:p w14:paraId="9BBE839C">
            <w:pPr>
              <w:pStyle w:val="style0"/>
              <w:spacing w:lineRule="auto" w:line="420"/>
              <w:rPr>
                <w:rFonts w:ascii="RobotoStatic" w:cs="Zawgyi-One" w:hAnsi="Source Sans Pro"/>
              </w:rPr>
            </w:pPr>
            <w:r>
              <w:rPr>
                <w:rFonts w:ascii="RobotoStatic" w:cs="Zawgyi-One" w:hAnsi="Source Sans Pro"/>
                <w:sz w:val="18"/>
                <w:szCs w:val="18"/>
              </w:rPr>
              <w:t>C</w:t>
            </w:r>
          </w:p>
        </w:tc>
      </w:tr>
      <w:tr w14:paraId="9FB22C34">
        <w:tblPrEx/>
        <w:trPr/>
        <w:tc>
          <w:tcPr>
            <w:tcW w:w="2560" w:type="dxa"/>
            <w:tcBorders/>
            <w:shd w:val="clear" w:color="auto" w:fill="auto"/>
            <w:tcMar>
              <w:top w:w="80" w:type="dxa"/>
              <w:left w:w="100" w:type="dxa"/>
              <w:bottom w:w="80" w:type="dxa"/>
              <w:right w:w="100" w:type="dxa"/>
            </w:tcMar>
            <w:vAlign w:val="center"/>
          </w:tcPr>
          <w:p w14:paraId="D43BB9B6">
            <w:pPr>
              <w:pStyle w:val="style0"/>
              <w:spacing w:lineRule="auto" w:line="420"/>
              <w:rPr>
                <w:rFonts w:ascii="RobotoStatic" w:cs="Zawgyi-One" w:hAnsi="Source Sans Pro"/>
              </w:rPr>
            </w:pPr>
            <w:r>
              <w:rPr>
                <w:rFonts w:ascii="RobotoStatic" w:cs="Zawgyi-One" w:hAnsi="Source Sans Pro"/>
                <w:sz w:val="18"/>
                <w:szCs w:val="18"/>
              </w:rPr>
              <w:t>Business continuity / recovery governance</w:t>
            </w:r>
          </w:p>
        </w:tc>
        <w:tc>
          <w:tcPr>
            <w:tcW w:w="700" w:type="dxa"/>
            <w:tcBorders/>
            <w:shd w:val="clear" w:color="auto" w:fill="auto"/>
            <w:tcMar>
              <w:top w:w="80" w:type="dxa"/>
              <w:left w:w="100" w:type="dxa"/>
              <w:bottom w:w="80" w:type="dxa"/>
              <w:right w:w="100" w:type="dxa"/>
            </w:tcMar>
            <w:vAlign w:val="center"/>
          </w:tcPr>
          <w:p w14:paraId="0FDBE81D">
            <w:pPr>
              <w:pStyle w:val="style0"/>
              <w:spacing w:lineRule="auto" w:line="420"/>
              <w:rPr>
                <w:rFonts w:ascii="RobotoStatic" w:cs="Zawgyi-One" w:hAnsi="Source Sans Pro"/>
              </w:rPr>
            </w:pPr>
            <w:r>
              <w:rPr>
                <w:rFonts w:ascii="RobotoStatic" w:cs="Zawgyi-One" w:hAnsi="Source Sans Pro"/>
                <w:sz w:val="18"/>
                <w:szCs w:val="18"/>
              </w:rPr>
              <w:t>I</w:t>
            </w:r>
          </w:p>
        </w:tc>
        <w:tc>
          <w:tcPr>
            <w:tcW w:w="660" w:type="dxa"/>
            <w:tcBorders/>
            <w:shd w:val="clear" w:color="auto" w:fill="auto"/>
            <w:tcMar>
              <w:top w:w="80" w:type="dxa"/>
              <w:left w:w="100" w:type="dxa"/>
              <w:bottom w:w="80" w:type="dxa"/>
              <w:right w:w="100" w:type="dxa"/>
            </w:tcMar>
            <w:vAlign w:val="center"/>
          </w:tcPr>
          <w:p w14:paraId="F66E8F7A">
            <w:pPr>
              <w:pStyle w:val="style0"/>
              <w:spacing w:lineRule="auto" w:line="420"/>
              <w:rPr>
                <w:rFonts w:ascii="RobotoStatic" w:cs="Zawgyi-One" w:hAnsi="Source Sans Pro"/>
              </w:rPr>
            </w:pPr>
            <w:r>
              <w:rPr>
                <w:rFonts w:ascii="RobotoStatic" w:cs="Zawgyi-One" w:hAnsi="Source Sans Pro"/>
                <w:sz w:val="18"/>
                <w:szCs w:val="18"/>
              </w:rPr>
              <w:t>A</w:t>
            </w:r>
          </w:p>
        </w:tc>
        <w:tc>
          <w:tcPr>
            <w:tcW w:w="660" w:type="dxa"/>
            <w:tcBorders/>
            <w:shd w:val="clear" w:color="auto" w:fill="auto"/>
            <w:tcMar>
              <w:top w:w="80" w:type="dxa"/>
              <w:left w:w="100" w:type="dxa"/>
              <w:bottom w:w="80" w:type="dxa"/>
              <w:right w:w="100" w:type="dxa"/>
            </w:tcMar>
            <w:vAlign w:val="center"/>
          </w:tcPr>
          <w:p w14:paraId="E7037B63">
            <w:pPr>
              <w:pStyle w:val="style0"/>
              <w:spacing w:lineRule="auto" w:line="420"/>
              <w:rPr>
                <w:rFonts w:ascii="RobotoStatic" w:cs="Zawgyi-One" w:hAnsi="Source Sans Pro"/>
              </w:rPr>
            </w:pPr>
            <w:r>
              <w:rPr>
                <w:rFonts w:ascii="RobotoStatic" w:cs="Zawgyi-One" w:hAnsi="Source Sans Pro"/>
                <w:sz w:val="18"/>
                <w:szCs w:val="18"/>
              </w:rPr>
              <w:t>C</w:t>
            </w:r>
          </w:p>
        </w:tc>
        <w:tc>
          <w:tcPr>
            <w:tcW w:w="660" w:type="dxa"/>
            <w:tcBorders/>
            <w:shd w:val="clear" w:color="auto" w:fill="auto"/>
            <w:tcMar>
              <w:top w:w="80" w:type="dxa"/>
              <w:left w:w="100" w:type="dxa"/>
              <w:bottom w:w="80" w:type="dxa"/>
              <w:right w:w="100" w:type="dxa"/>
            </w:tcMar>
            <w:vAlign w:val="center"/>
          </w:tcPr>
          <w:p w14:paraId="F9A0E006">
            <w:pPr>
              <w:pStyle w:val="style0"/>
              <w:spacing w:lineRule="auto" w:line="420"/>
              <w:rPr>
                <w:rFonts w:ascii="RobotoStatic" w:cs="Zawgyi-One" w:hAnsi="Source Sans Pro"/>
              </w:rPr>
            </w:pPr>
            <w:r>
              <w:rPr>
                <w:rFonts w:ascii="RobotoStatic" w:cs="Zawgyi-One" w:hAnsi="Source Sans Pro"/>
                <w:sz w:val="18"/>
                <w:szCs w:val="18"/>
              </w:rPr>
              <w:t>C</w:t>
            </w:r>
          </w:p>
        </w:tc>
        <w:tc>
          <w:tcPr>
            <w:tcW w:w="640" w:type="dxa"/>
            <w:tcBorders/>
            <w:shd w:val="clear" w:color="auto" w:fill="auto"/>
            <w:tcMar>
              <w:top w:w="80" w:type="dxa"/>
              <w:left w:w="100" w:type="dxa"/>
              <w:bottom w:w="80" w:type="dxa"/>
              <w:right w:w="100" w:type="dxa"/>
            </w:tcMar>
            <w:vAlign w:val="center"/>
          </w:tcPr>
          <w:p w14:paraId="44AA1B01">
            <w:pPr>
              <w:pStyle w:val="style0"/>
              <w:spacing w:lineRule="auto" w:line="420"/>
              <w:rPr>
                <w:rFonts w:ascii="RobotoStatic" w:cs="Zawgyi-One" w:hAnsi="Source Sans Pro"/>
              </w:rPr>
            </w:pPr>
            <w:r>
              <w:rPr>
                <w:rFonts w:ascii="RobotoStatic" w:cs="Zawgyi-One" w:hAnsi="Source Sans Pro"/>
                <w:sz w:val="18"/>
                <w:szCs w:val="18"/>
              </w:rPr>
              <w:t>I</w:t>
            </w:r>
          </w:p>
        </w:tc>
        <w:tc>
          <w:tcPr>
            <w:tcW w:w="660" w:type="dxa"/>
            <w:tcBorders/>
            <w:shd w:val="clear" w:color="auto" w:fill="auto"/>
            <w:tcMar>
              <w:top w:w="80" w:type="dxa"/>
              <w:left w:w="100" w:type="dxa"/>
              <w:bottom w:w="80" w:type="dxa"/>
              <w:right w:w="100" w:type="dxa"/>
            </w:tcMar>
            <w:vAlign w:val="center"/>
          </w:tcPr>
          <w:p w14:paraId="F6A57E7D">
            <w:pPr>
              <w:pStyle w:val="style0"/>
              <w:spacing w:lineRule="auto" w:line="420"/>
              <w:rPr>
                <w:rFonts w:ascii="RobotoStatic" w:cs="Zawgyi-One" w:hAnsi="Source Sans Pro"/>
              </w:rPr>
            </w:pPr>
            <w:r>
              <w:rPr>
                <w:rFonts w:ascii="RobotoStatic" w:cs="Zawgyi-One" w:hAnsi="Source Sans Pro"/>
                <w:sz w:val="18"/>
                <w:szCs w:val="18"/>
              </w:rPr>
              <w:t>C</w:t>
            </w:r>
          </w:p>
        </w:tc>
        <w:tc>
          <w:tcPr>
            <w:tcW w:w="620" w:type="dxa"/>
            <w:tcBorders/>
            <w:shd w:val="clear" w:color="auto" w:fill="auto"/>
            <w:tcMar>
              <w:top w:w="80" w:type="dxa"/>
              <w:left w:w="100" w:type="dxa"/>
              <w:bottom w:w="80" w:type="dxa"/>
              <w:right w:w="100" w:type="dxa"/>
            </w:tcMar>
            <w:vAlign w:val="center"/>
          </w:tcPr>
          <w:p w14:paraId="28A169CD">
            <w:pPr>
              <w:pStyle w:val="style0"/>
              <w:spacing w:lineRule="auto" w:line="420"/>
              <w:rPr>
                <w:rFonts w:ascii="RobotoStatic" w:cs="Zawgyi-One" w:hAnsi="Source Sans Pro"/>
              </w:rPr>
            </w:pPr>
            <w:r>
              <w:rPr>
                <w:rFonts w:ascii="RobotoStatic" w:cs="Zawgyi-One" w:hAnsi="Source Sans Pro"/>
                <w:sz w:val="18"/>
                <w:szCs w:val="18"/>
              </w:rPr>
              <w:t>I</w:t>
            </w:r>
          </w:p>
        </w:tc>
        <w:tc>
          <w:tcPr>
            <w:tcW w:w="620" w:type="dxa"/>
            <w:tcBorders/>
            <w:shd w:val="clear" w:color="auto" w:fill="auto"/>
            <w:tcMar>
              <w:top w:w="80" w:type="dxa"/>
              <w:left w:w="100" w:type="dxa"/>
              <w:bottom w:w="80" w:type="dxa"/>
              <w:right w:w="100" w:type="dxa"/>
            </w:tcMar>
            <w:vAlign w:val="center"/>
          </w:tcPr>
          <w:p w14:paraId="19C7C5AA">
            <w:pPr>
              <w:pStyle w:val="style0"/>
              <w:spacing w:lineRule="auto" w:line="420"/>
              <w:rPr>
                <w:rFonts w:ascii="RobotoStatic" w:cs="Zawgyi-One" w:hAnsi="Source Sans Pro"/>
              </w:rPr>
            </w:pPr>
            <w:r>
              <w:rPr>
                <w:rFonts w:ascii="RobotoStatic" w:cs="Zawgyi-One" w:hAnsi="Source Sans Pro"/>
                <w:sz w:val="18"/>
                <w:szCs w:val="18"/>
              </w:rPr>
              <w:t>R</w:t>
            </w:r>
          </w:p>
        </w:tc>
        <w:tc>
          <w:tcPr>
            <w:tcW w:w="640" w:type="dxa"/>
            <w:tcBorders/>
            <w:shd w:val="clear" w:color="auto" w:fill="auto"/>
            <w:tcMar>
              <w:top w:w="80" w:type="dxa"/>
              <w:left w:w="100" w:type="dxa"/>
              <w:bottom w:w="80" w:type="dxa"/>
              <w:right w:w="100" w:type="dxa"/>
            </w:tcMar>
            <w:vAlign w:val="center"/>
          </w:tcPr>
          <w:p w14:paraId="C319CC67">
            <w:pPr>
              <w:pStyle w:val="style0"/>
              <w:spacing w:lineRule="auto" w:line="420"/>
              <w:rPr>
                <w:rFonts w:ascii="RobotoStatic" w:cs="Zawgyi-One" w:hAnsi="Source Sans Pro"/>
              </w:rPr>
            </w:pPr>
            <w:r>
              <w:rPr>
                <w:rFonts w:ascii="RobotoStatic" w:cs="Zawgyi-One" w:hAnsi="Source Sans Pro"/>
                <w:sz w:val="18"/>
                <w:szCs w:val="18"/>
              </w:rPr>
              <w:t>R</w:t>
            </w:r>
          </w:p>
        </w:tc>
      </w:tr>
      <w:tr w14:paraId="8A79B9C5">
        <w:tblPrEx/>
        <w:trPr/>
        <w:tc>
          <w:tcPr>
            <w:tcW w:w="2560" w:type="dxa"/>
            <w:tcBorders/>
            <w:shd w:val="clear" w:color="auto" w:fill="auto"/>
            <w:tcMar>
              <w:top w:w="80" w:type="dxa"/>
              <w:left w:w="100" w:type="dxa"/>
              <w:bottom w:w="80" w:type="dxa"/>
              <w:right w:w="100" w:type="dxa"/>
            </w:tcMar>
            <w:vAlign w:val="center"/>
          </w:tcPr>
          <w:p w14:paraId="08781557">
            <w:pPr>
              <w:pStyle w:val="style0"/>
              <w:spacing w:lineRule="auto" w:line="420"/>
              <w:rPr>
                <w:rFonts w:ascii="RobotoStatic" w:cs="Zawgyi-One" w:hAnsi="Source Sans Pro"/>
              </w:rPr>
            </w:pPr>
            <w:r>
              <w:rPr>
                <w:rFonts w:ascii="RobotoStatic" w:cs="Zawgyi-One" w:hAnsi="Source Sans Pro"/>
                <w:sz w:val="18"/>
                <w:szCs w:val="18"/>
              </w:rPr>
              <w:t>Board cyber-risk reporting</w:t>
            </w:r>
          </w:p>
        </w:tc>
        <w:tc>
          <w:tcPr>
            <w:tcW w:w="700" w:type="dxa"/>
            <w:tcBorders/>
            <w:shd w:val="clear" w:color="auto" w:fill="auto"/>
            <w:tcMar>
              <w:top w:w="80" w:type="dxa"/>
              <w:left w:w="100" w:type="dxa"/>
              <w:bottom w:w="80" w:type="dxa"/>
              <w:right w:w="100" w:type="dxa"/>
            </w:tcMar>
            <w:vAlign w:val="center"/>
          </w:tcPr>
          <w:p w14:paraId="B1D6D073">
            <w:pPr>
              <w:pStyle w:val="style0"/>
              <w:spacing w:lineRule="auto" w:line="420"/>
              <w:rPr>
                <w:rFonts w:ascii="RobotoStatic" w:cs="Zawgyi-One" w:hAnsi="Source Sans Pro"/>
              </w:rPr>
            </w:pPr>
            <w:r>
              <w:rPr>
                <w:rFonts w:ascii="RobotoStatic" w:cs="Zawgyi-One" w:hAnsi="Source Sans Pro"/>
                <w:sz w:val="18"/>
                <w:szCs w:val="18"/>
              </w:rPr>
              <w:t>A</w:t>
            </w:r>
          </w:p>
        </w:tc>
        <w:tc>
          <w:tcPr>
            <w:tcW w:w="660" w:type="dxa"/>
            <w:tcBorders/>
            <w:shd w:val="clear" w:color="auto" w:fill="auto"/>
            <w:tcMar>
              <w:top w:w="80" w:type="dxa"/>
              <w:left w:w="100" w:type="dxa"/>
              <w:bottom w:w="80" w:type="dxa"/>
              <w:right w:w="100" w:type="dxa"/>
            </w:tcMar>
            <w:vAlign w:val="center"/>
          </w:tcPr>
          <w:p w14:paraId="8CCB3A31">
            <w:pPr>
              <w:pStyle w:val="style0"/>
              <w:spacing w:lineRule="auto" w:line="420"/>
              <w:rPr>
                <w:rFonts w:ascii="RobotoStatic" w:cs="Zawgyi-One" w:hAnsi="Source Sans Pro"/>
              </w:rPr>
            </w:pPr>
            <w:r>
              <w:rPr>
                <w:rFonts w:ascii="RobotoStatic" w:cs="Zawgyi-One" w:hAnsi="Source Sans Pro"/>
                <w:sz w:val="18"/>
                <w:szCs w:val="18"/>
              </w:rPr>
              <w:t>C</w:t>
            </w:r>
          </w:p>
        </w:tc>
        <w:tc>
          <w:tcPr>
            <w:tcW w:w="660" w:type="dxa"/>
            <w:tcBorders/>
            <w:shd w:val="clear" w:color="auto" w:fill="auto"/>
            <w:tcMar>
              <w:top w:w="80" w:type="dxa"/>
              <w:left w:w="100" w:type="dxa"/>
              <w:bottom w:w="80" w:type="dxa"/>
              <w:right w:w="100" w:type="dxa"/>
            </w:tcMar>
            <w:vAlign w:val="center"/>
          </w:tcPr>
          <w:p w14:paraId="9F77FC30">
            <w:pPr>
              <w:pStyle w:val="style0"/>
              <w:spacing w:lineRule="auto" w:line="420"/>
              <w:rPr>
                <w:rFonts w:ascii="RobotoStatic" w:cs="Zawgyi-One" w:hAnsi="Source Sans Pro"/>
              </w:rPr>
            </w:pPr>
            <w:r>
              <w:rPr>
                <w:rFonts w:ascii="RobotoStatic" w:cs="Zawgyi-One" w:hAnsi="Source Sans Pro"/>
                <w:sz w:val="18"/>
                <w:szCs w:val="18"/>
              </w:rPr>
              <w:t>R</w:t>
            </w:r>
          </w:p>
        </w:tc>
        <w:tc>
          <w:tcPr>
            <w:tcW w:w="660" w:type="dxa"/>
            <w:tcBorders/>
            <w:shd w:val="clear" w:color="auto" w:fill="auto"/>
            <w:tcMar>
              <w:top w:w="80" w:type="dxa"/>
              <w:left w:w="100" w:type="dxa"/>
              <w:bottom w:w="80" w:type="dxa"/>
              <w:right w:w="100" w:type="dxa"/>
            </w:tcMar>
            <w:vAlign w:val="center"/>
          </w:tcPr>
          <w:p w14:paraId="4A3990C8">
            <w:pPr>
              <w:pStyle w:val="style0"/>
              <w:spacing w:lineRule="auto" w:line="420"/>
              <w:rPr>
                <w:rFonts w:ascii="RobotoStatic" w:cs="Zawgyi-One" w:hAnsi="Source Sans Pro"/>
              </w:rPr>
            </w:pPr>
            <w:r>
              <w:rPr>
                <w:rFonts w:ascii="RobotoStatic" w:cs="Zawgyi-One" w:hAnsi="Source Sans Pro"/>
                <w:sz w:val="18"/>
                <w:szCs w:val="18"/>
              </w:rPr>
              <w:t>C</w:t>
            </w:r>
          </w:p>
        </w:tc>
        <w:tc>
          <w:tcPr>
            <w:tcW w:w="640" w:type="dxa"/>
            <w:tcBorders/>
            <w:shd w:val="clear" w:color="auto" w:fill="auto"/>
            <w:tcMar>
              <w:top w:w="80" w:type="dxa"/>
              <w:left w:w="100" w:type="dxa"/>
              <w:bottom w:w="80" w:type="dxa"/>
              <w:right w:w="100" w:type="dxa"/>
            </w:tcMar>
            <w:vAlign w:val="center"/>
          </w:tcPr>
          <w:p w14:paraId="A213A9E6">
            <w:pPr>
              <w:pStyle w:val="style0"/>
              <w:spacing w:lineRule="auto" w:line="420"/>
              <w:rPr>
                <w:rFonts w:ascii="RobotoStatic" w:cs="Zawgyi-One" w:hAnsi="Source Sans Pro"/>
              </w:rPr>
            </w:pPr>
            <w:r>
              <w:rPr>
                <w:rFonts w:ascii="RobotoStatic" w:cs="Zawgyi-One" w:hAnsi="Source Sans Pro"/>
                <w:sz w:val="18"/>
                <w:szCs w:val="18"/>
              </w:rPr>
              <w:t>I</w:t>
            </w:r>
          </w:p>
        </w:tc>
        <w:tc>
          <w:tcPr>
            <w:tcW w:w="660" w:type="dxa"/>
            <w:tcBorders/>
            <w:shd w:val="clear" w:color="auto" w:fill="auto"/>
            <w:tcMar>
              <w:top w:w="80" w:type="dxa"/>
              <w:left w:w="100" w:type="dxa"/>
              <w:bottom w:w="80" w:type="dxa"/>
              <w:right w:w="100" w:type="dxa"/>
            </w:tcMar>
            <w:vAlign w:val="center"/>
          </w:tcPr>
          <w:p w14:paraId="4CE28B8E">
            <w:pPr>
              <w:pStyle w:val="style0"/>
              <w:spacing w:lineRule="auto" w:line="420"/>
              <w:rPr>
                <w:rFonts w:ascii="RobotoStatic" w:cs="Zawgyi-One" w:hAnsi="Source Sans Pro"/>
              </w:rPr>
            </w:pPr>
            <w:r>
              <w:rPr>
                <w:rFonts w:ascii="RobotoStatic" w:cs="Zawgyi-One" w:hAnsi="Source Sans Pro"/>
                <w:sz w:val="18"/>
                <w:szCs w:val="18"/>
              </w:rPr>
              <w:t>I</w:t>
            </w:r>
          </w:p>
        </w:tc>
        <w:tc>
          <w:tcPr>
            <w:tcW w:w="620" w:type="dxa"/>
            <w:tcBorders/>
            <w:shd w:val="clear" w:color="auto" w:fill="auto"/>
            <w:tcMar>
              <w:top w:w="80" w:type="dxa"/>
              <w:left w:w="100" w:type="dxa"/>
              <w:bottom w:w="80" w:type="dxa"/>
              <w:right w:w="100" w:type="dxa"/>
            </w:tcMar>
            <w:vAlign w:val="center"/>
          </w:tcPr>
          <w:p w14:paraId="090C6B85">
            <w:pPr>
              <w:pStyle w:val="style0"/>
              <w:spacing w:lineRule="auto" w:line="420"/>
              <w:rPr>
                <w:rFonts w:ascii="RobotoStatic" w:cs="Zawgyi-One" w:hAnsi="Source Sans Pro"/>
              </w:rPr>
            </w:pPr>
            <w:r>
              <w:rPr>
                <w:rFonts w:ascii="RobotoStatic" w:cs="Zawgyi-One" w:hAnsi="Source Sans Pro"/>
                <w:sz w:val="18"/>
                <w:szCs w:val="18"/>
              </w:rPr>
              <w:t>I</w:t>
            </w:r>
          </w:p>
        </w:tc>
        <w:tc>
          <w:tcPr>
            <w:tcW w:w="620" w:type="dxa"/>
            <w:tcBorders/>
            <w:shd w:val="clear" w:color="auto" w:fill="auto"/>
            <w:tcMar>
              <w:top w:w="80" w:type="dxa"/>
              <w:left w:w="100" w:type="dxa"/>
              <w:bottom w:w="80" w:type="dxa"/>
              <w:right w:w="100" w:type="dxa"/>
            </w:tcMar>
            <w:vAlign w:val="center"/>
          </w:tcPr>
          <w:p w14:paraId="5ADB2BD8">
            <w:pPr>
              <w:pStyle w:val="style0"/>
              <w:spacing w:lineRule="auto" w:line="420"/>
              <w:rPr>
                <w:rFonts w:ascii="RobotoStatic" w:cs="Zawgyi-One" w:hAnsi="Source Sans Pro"/>
              </w:rPr>
            </w:pPr>
            <w:r>
              <w:rPr>
                <w:rFonts w:ascii="RobotoStatic" w:cs="Zawgyi-One" w:hAnsi="Source Sans Pro"/>
                <w:sz w:val="18"/>
                <w:szCs w:val="18"/>
              </w:rPr>
              <w:t>I</w:t>
            </w:r>
          </w:p>
        </w:tc>
        <w:tc>
          <w:tcPr>
            <w:tcW w:w="640" w:type="dxa"/>
            <w:tcBorders/>
            <w:shd w:val="clear" w:color="auto" w:fill="auto"/>
            <w:tcMar>
              <w:top w:w="80" w:type="dxa"/>
              <w:left w:w="100" w:type="dxa"/>
              <w:bottom w:w="80" w:type="dxa"/>
              <w:right w:w="100" w:type="dxa"/>
            </w:tcMar>
            <w:vAlign w:val="center"/>
          </w:tcPr>
          <w:p w14:paraId="07C67F3B">
            <w:pPr>
              <w:pStyle w:val="style0"/>
              <w:spacing w:lineRule="auto" w:line="420"/>
              <w:rPr>
                <w:rFonts w:ascii="RobotoStatic" w:cs="Zawgyi-One" w:hAnsi="Source Sans Pro"/>
              </w:rPr>
            </w:pPr>
            <w:r>
              <w:rPr>
                <w:rFonts w:ascii="RobotoStatic" w:cs="Zawgyi-One" w:hAnsi="Source Sans Pro"/>
                <w:sz w:val="18"/>
                <w:szCs w:val="18"/>
              </w:rPr>
              <w:t>I</w:t>
            </w:r>
          </w:p>
        </w:tc>
      </w:tr>
    </w:tbl>
    <w:p w14:paraId="A21D7E77">
      <w:pPr>
        <w:pStyle w:val="style0"/>
        <w:spacing w:lineRule="auto" w:line="420"/>
        <w:rPr>
          <w:rFonts w:ascii="RobotoStatic" w:cs="Zawgyi-One" w:hAnsi="Source Sans Pro"/>
        </w:rPr>
      </w:pPr>
    </w:p>
    <w:p w14:paraId="3CE74C85">
      <w:pPr>
        <w:pStyle w:val="style2"/>
        <w:spacing w:before="280" w:after="140" w:lineRule="auto" w:line="420"/>
        <w:rPr>
          <w:rFonts w:ascii="RobotoStatic" w:cs="Zawgyi-One" w:hAnsi="Source Sans Pro"/>
          <w:color w:val="auto"/>
        </w:rPr>
      </w:pPr>
      <w:r>
        <w:rPr>
          <w:rFonts w:ascii="RobotoStatic" w:cs="Zawgyi-One" w:hAnsi="Source Sans Pro"/>
          <w:b/>
          <w:bCs/>
          <w:color w:val="auto"/>
          <w:sz w:val="24"/>
          <w:szCs w:val="24"/>
        </w:rPr>
        <w:t>4.2 Problematic Assignments</w:t>
      </w:r>
    </w:p>
    <w:p w14:paraId="C8CB500D">
      <w:pPr>
        <w:pStyle w:val="style0"/>
        <w:spacing w:after="160" w:lineRule="auto" w:line="420"/>
        <w:rPr>
          <w:rFonts w:ascii="RobotoStatic" w:cs="Zawgyi-One" w:hAnsi="Source Sans Pro"/>
        </w:rPr>
      </w:pPr>
      <w:r>
        <w:rPr>
          <w:rFonts w:ascii="RobotoStatic" w:cs="Zawgyi-One" w:hAnsi="Source Sans Pro"/>
          <w:sz w:val="21"/>
          <w:szCs w:val="21"/>
        </w:rPr>
        <w:t>Three assignments in the matrix above create a genuine risk of confusion or weak accountability if left as a bare RACI entry, and each needs a supplementary rule rather than a single letter.</w:t>
      </w:r>
    </w:p>
    <w:p w14:paraId="DD1F9C52">
      <w:pPr>
        <w:pStyle w:val="style0"/>
        <w:spacing w:before="60" w:after="40" w:lineRule="auto" w:line="420"/>
        <w:rPr>
          <w:rFonts w:ascii="RobotoStatic" w:cs="Zawgyi-One" w:hAnsi="Source Sans Pro"/>
        </w:rPr>
      </w:pPr>
      <w:r>
        <w:rPr>
          <w:rFonts w:ascii="RobotoStatic" w:cs="Zawgyi-One" w:hAnsi="Source Sans Pro"/>
          <w:b/>
          <w:bCs/>
        </w:rPr>
        <w:t xml:space="preserve">1. Security budget approval </w:t>
      </w:r>
      <w:r>
        <w:rPr>
          <w:rFonts w:ascii="RobotoStatic" w:cs="Calibri" w:hAnsi="Calibri"/>
          <w:b/>
          <w:bCs/>
        </w:rPr>
        <w:t>—</w:t>
      </w:r>
      <w:r>
        <w:rPr>
          <w:rFonts w:ascii="RobotoStatic" w:cs="Zawgyi-One" w:hAnsi="Source Sans Pro"/>
          <w:b/>
          <w:bCs/>
        </w:rPr>
        <w:t xml:space="preserve"> CEO and Finance both marked Accountable</w:t>
      </w:r>
    </w:p>
    <w:p w14:paraId="BDA9E177">
      <w:pPr>
        <w:pStyle w:val="style0"/>
        <w:spacing w:after="160" w:lineRule="auto" w:line="420"/>
        <w:rPr>
          <w:rFonts w:ascii="RobotoStatic" w:cs="Zawgyi-One" w:hAnsi="Source Sans Pro"/>
        </w:rPr>
      </w:pPr>
      <w:r>
        <w:rPr>
          <w:rFonts w:ascii="RobotoStatic" w:cs="Zawgyi-One" w:hAnsi="Source Sans Pro"/>
          <w:sz w:val="21"/>
          <w:szCs w:val="21"/>
        </w:rPr>
        <w:t>The CEO must be able to sponsor and approve urgent, unbudgeted security spend, but Finance is accountable for fiscal control and cannot be bypassed without undermining budget governance. Resolution rule: the CEO holds emergency-spend authority up to a defined threshold, with mandatory Finance ratification within 30 days; above that threshold, Finance approval is required before spend is committed, not after.</w:t>
      </w:r>
    </w:p>
    <w:p w14:paraId="6A59527F">
      <w:pPr>
        <w:pStyle w:val="style0"/>
        <w:spacing w:before="60" w:after="40" w:lineRule="auto" w:line="420"/>
        <w:rPr>
          <w:rFonts w:ascii="RobotoStatic" w:cs="Zawgyi-One" w:hAnsi="Source Sans Pro"/>
        </w:rPr>
      </w:pPr>
      <w:r>
        <w:rPr>
          <w:rFonts w:ascii="RobotoStatic" w:cs="Zawgyi-One" w:hAnsi="Source Sans Pro"/>
          <w:b/>
          <w:bCs/>
        </w:rPr>
        <w:t xml:space="preserve">2. Material incident escalation </w:t>
      </w:r>
      <w:r>
        <w:rPr>
          <w:rFonts w:ascii="RobotoStatic" w:cs="Calibri" w:hAnsi="Calibri"/>
          <w:b/>
          <w:bCs/>
        </w:rPr>
        <w:t>—</w:t>
      </w:r>
      <w:r>
        <w:rPr>
          <w:rFonts w:ascii="RobotoStatic" w:cs="Zawgyi-One" w:hAnsi="Source Sans Pro"/>
          <w:b/>
          <w:bCs/>
        </w:rPr>
        <w:t xml:space="preserve"> Board and CEO both marked Accountable</w:t>
      </w:r>
    </w:p>
    <w:p w14:paraId="9EC21B8D">
      <w:pPr>
        <w:pStyle w:val="style0"/>
        <w:spacing w:after="160" w:lineRule="auto" w:line="420"/>
        <w:rPr>
          <w:rFonts w:ascii="RobotoStatic" w:cs="Zawgyi-One" w:hAnsi="Source Sans Pro"/>
        </w:rPr>
      </w:pPr>
      <w:r>
        <w:rPr>
          <w:rFonts w:ascii="RobotoStatic" w:cs="Zawgyi-One" w:hAnsi="Source Sans Pro"/>
          <w:sz w:val="21"/>
          <w:szCs w:val="21"/>
        </w:rPr>
        <w:t xml:space="preserve">Accountability for directing an incident response can shift from the CEO to the Board Risk &amp; Audit Committee mid-incident, once a materiality threshold is crossed. Left unresolved, this creates ambiguity about who is actually in charge while the incident is unfolding. Resolution rule: the CISO acts as incident commander throughout, regardless of which executive tier holds risk-acceptance accountability at that moment; the pre-agreed materiality triggers in the Task 5 escalation thresholds </w:t>
      </w:r>
      <w:r>
        <w:rPr>
          <w:rFonts w:ascii="RobotoStatic" w:cs="Calibri" w:hAnsi="Calibri"/>
          <w:sz w:val="21"/>
          <w:szCs w:val="21"/>
        </w:rPr>
        <w:t>—</w:t>
      </w:r>
      <w:r>
        <w:rPr>
          <w:rFonts w:ascii="RobotoStatic" w:cs="Zawgyi-One" w:hAnsi="Source Sans Pro"/>
          <w:sz w:val="21"/>
          <w:szCs w:val="21"/>
        </w:rPr>
        <w:t xml:space="preserve"> not real-time debate </w:t>
      </w:r>
      <w:r>
        <w:rPr>
          <w:rFonts w:ascii="RobotoStatic" w:cs="Calibri" w:hAnsi="Calibri"/>
          <w:sz w:val="21"/>
          <w:szCs w:val="21"/>
        </w:rPr>
        <w:t>—</w:t>
      </w:r>
      <w:r>
        <w:rPr>
          <w:rFonts w:ascii="RobotoStatic" w:cs="Zawgyi-One" w:hAnsi="Source Sans Pro"/>
          <w:sz w:val="21"/>
          <w:szCs w:val="21"/>
        </w:rPr>
        <w:t xml:space="preserve"> determine which tier is accountable for the risk decision.</w:t>
      </w:r>
    </w:p>
    <w:p w14:paraId="E8963C04">
      <w:pPr>
        <w:pStyle w:val="style0"/>
        <w:spacing w:before="60" w:after="40" w:lineRule="auto" w:line="420"/>
        <w:rPr>
          <w:rFonts w:ascii="RobotoStatic" w:cs="Zawgyi-One" w:hAnsi="Source Sans Pro"/>
        </w:rPr>
      </w:pPr>
      <w:r>
        <w:rPr>
          <w:rFonts w:ascii="RobotoStatic" w:cs="Zawgyi-One" w:hAnsi="Source Sans Pro"/>
          <w:b/>
          <w:bCs/>
        </w:rPr>
        <w:t xml:space="preserve">3. Security awareness programme </w:t>
      </w:r>
      <w:r>
        <w:rPr>
          <w:rFonts w:ascii="RobotoStatic" w:cs="Calibri" w:hAnsi="Calibri"/>
          <w:b/>
          <w:bCs/>
        </w:rPr>
        <w:t>—</w:t>
      </w:r>
      <w:r>
        <w:rPr>
          <w:rFonts w:ascii="RobotoStatic" w:cs="Zawgyi-One" w:hAnsi="Source Sans Pro"/>
          <w:b/>
          <w:bCs/>
        </w:rPr>
        <w:t xml:space="preserve"> HR Responsible, CISO Accountable</w:t>
      </w:r>
    </w:p>
    <w:p w14:paraId="6D575205">
      <w:pPr>
        <w:pStyle w:val="style0"/>
        <w:spacing w:after="160" w:lineRule="auto" w:line="420"/>
        <w:rPr>
          <w:rFonts w:ascii="RobotoStatic" w:cs="Zawgyi-One" w:hAnsi="Source Sans Pro"/>
        </w:rPr>
      </w:pPr>
      <w:r>
        <w:rPr>
          <w:rFonts w:ascii="RobotoStatic" w:cs="Zawgyi-One" w:hAnsi="Source Sans Pro"/>
          <w:sz w:val="21"/>
          <w:szCs w:val="21"/>
        </w:rPr>
        <w:t>HR delivers the training and phishing-simulation programme, but the CISO is accountable for the risk-reduction outcome it is meant to achieve. A poor completion rate or rising phishing click-rate is then a shared failure with no obvious single owner. Resolution rule: HR and the CISO jointly own a published KPI pair (completion rate and phishing-simulation click rate); if either misses target for two consecutive quarters, the Steering Committee names a specific remediation owner and reports the miss to the Executive Security Council.</w:t>
      </w:r>
    </w:p>
    <w:p w14:paraId="B9A59290">
      <w:pPr>
        <w:pStyle w:val="style2"/>
        <w:spacing w:before="280" w:after="140" w:lineRule="auto" w:line="420"/>
        <w:rPr>
          <w:rFonts w:ascii="RobotoStatic" w:cs="Zawgyi-One" w:hAnsi="Source Sans Pro"/>
          <w:color w:val="auto"/>
        </w:rPr>
      </w:pPr>
      <w:r>
        <w:rPr>
          <w:rFonts w:ascii="RobotoStatic" w:cs="Zawgyi-One" w:hAnsi="Source Sans Pro"/>
          <w:b/>
          <w:bCs/>
          <w:color w:val="auto"/>
          <w:sz w:val="24"/>
          <w:szCs w:val="24"/>
        </w:rPr>
        <w:t>4.3 One-Page Implementation Guide</w:t>
      </w:r>
    </w:p>
    <w:p w14:paraId="6CD4156F">
      <w:pPr>
        <w:pStyle w:val="style3"/>
        <w:spacing w:before="200" w:after="100" w:lineRule="auto" w:line="420"/>
        <w:rPr>
          <w:rFonts w:ascii="RobotoStatic" w:cs="Zawgyi-One" w:hAnsi="Source Sans Pro"/>
          <w:color w:val="auto"/>
        </w:rPr>
      </w:pPr>
      <w:r>
        <w:rPr>
          <w:rFonts w:ascii="RobotoStatic" w:cs="Zawgyi-One" w:hAnsi="Source Sans Pro"/>
          <w:b/>
          <w:bCs/>
          <w:color w:val="auto"/>
          <w:sz w:val="21"/>
          <w:szCs w:val="21"/>
        </w:rPr>
        <w:t>Using the RACI matrix in planning</w:t>
      </w:r>
    </w:p>
    <w:p w14:paraId="0919F711">
      <w:pPr>
        <w:pStyle w:val="style179"/>
        <w:numPr>
          <w:ilvl w:val="0"/>
          <w:numId w:val="1"/>
        </w:numPr>
        <w:spacing w:after="80" w:lineRule="auto" w:line="420"/>
        <w:rPr>
          <w:rFonts w:ascii="RobotoStatic" w:cs="Zawgyi-One" w:hAnsi="Source Sans Pro"/>
        </w:rPr>
      </w:pPr>
      <w:r>
        <w:rPr>
          <w:rFonts w:ascii="RobotoStatic" w:cs="Zawgyi-One" w:hAnsi="Source Sans Pro"/>
          <w:sz w:val="21"/>
          <w:szCs w:val="21"/>
        </w:rPr>
        <w:t>Before scheduling a governance activity (e.g. an annual policy review), the named Accountable role confirms availability of all Consulted roles; the activity is not booked until Consulted roles have committed input windows.</w:t>
      </w:r>
    </w:p>
    <w:p w14:paraId="FBDB5838">
      <w:pPr>
        <w:pStyle w:val="style179"/>
        <w:numPr>
          <w:ilvl w:val="0"/>
          <w:numId w:val="1"/>
        </w:numPr>
        <w:spacing w:after="80" w:lineRule="auto" w:line="420"/>
        <w:rPr>
          <w:rFonts w:ascii="RobotoStatic" w:cs="Zawgyi-One" w:hAnsi="Source Sans Pro"/>
        </w:rPr>
      </w:pPr>
      <w:r>
        <w:rPr>
          <w:rFonts w:ascii="RobotoStatic" w:cs="Zawgyi-One" w:hAnsi="Source Sans Pro"/>
          <w:sz w:val="21"/>
          <w:szCs w:val="21"/>
        </w:rPr>
        <w:t>Where an activity spans a full year (e.g. Board cyber-risk reporting), the Accountable role owns the calendar slot in the Task 3 governance calendar.</w:t>
      </w:r>
    </w:p>
    <w:p w14:paraId="2C2AFC43">
      <w:pPr>
        <w:pStyle w:val="style3"/>
        <w:spacing w:before="200" w:after="100" w:lineRule="auto" w:line="420"/>
        <w:rPr>
          <w:rFonts w:ascii="RobotoStatic" w:cs="Zawgyi-One" w:hAnsi="Source Sans Pro"/>
          <w:color w:val="auto"/>
        </w:rPr>
      </w:pPr>
      <w:r>
        <w:rPr>
          <w:rFonts w:ascii="RobotoStatic" w:cs="Zawgyi-One" w:hAnsi="Source Sans Pro"/>
          <w:b/>
          <w:bCs/>
          <w:color w:val="auto"/>
          <w:sz w:val="21"/>
          <w:szCs w:val="21"/>
        </w:rPr>
        <w:t>Using the RACI matrix in approvals</w:t>
      </w:r>
    </w:p>
    <w:p w14:paraId="68E72DC1">
      <w:pPr>
        <w:pStyle w:val="style179"/>
        <w:numPr>
          <w:ilvl w:val="0"/>
          <w:numId w:val="1"/>
        </w:numPr>
        <w:spacing w:after="80" w:lineRule="auto" w:line="420"/>
        <w:rPr>
          <w:rFonts w:ascii="RobotoStatic" w:cs="Zawgyi-One" w:hAnsi="Source Sans Pro"/>
        </w:rPr>
      </w:pPr>
      <w:r>
        <w:rPr>
          <w:rFonts w:ascii="RobotoStatic" w:cs="Zawgyi-One" w:hAnsi="Source Sans Pro"/>
          <w:sz w:val="21"/>
          <w:szCs w:val="21"/>
        </w:rPr>
        <w:t xml:space="preserve">An approval is not valid unless it carries the sign-off of the role marked Accountable for that activity </w:t>
      </w:r>
      <w:r>
        <w:rPr>
          <w:rFonts w:ascii="RobotoStatic" w:cs="Calibri" w:hAnsi="Calibri"/>
          <w:sz w:val="21"/>
          <w:szCs w:val="21"/>
        </w:rPr>
        <w:t>—</w:t>
      </w:r>
      <w:r>
        <w:rPr>
          <w:rFonts w:ascii="RobotoStatic" w:cs="Zawgyi-One" w:hAnsi="Source Sans Pro"/>
          <w:sz w:val="21"/>
          <w:szCs w:val="21"/>
        </w:rPr>
        <w:t xml:space="preserve"> a Responsible role's sign-off alone (e.g. IT approving its own architecture change) does not satisfy governance requirements.</w:t>
      </w:r>
    </w:p>
    <w:p w14:paraId="94A90C03">
      <w:pPr>
        <w:pStyle w:val="style179"/>
        <w:numPr>
          <w:ilvl w:val="0"/>
          <w:numId w:val="1"/>
        </w:numPr>
        <w:spacing w:after="80" w:lineRule="auto" w:line="420"/>
        <w:rPr>
          <w:rFonts w:ascii="RobotoStatic" w:cs="Zawgyi-One" w:hAnsi="Source Sans Pro"/>
        </w:rPr>
      </w:pPr>
      <w:r>
        <w:rPr>
          <w:rFonts w:ascii="RobotoStatic" w:cs="Zawgyi-One" w:hAnsi="Source Sans Pro"/>
          <w:sz w:val="21"/>
          <w:szCs w:val="21"/>
        </w:rPr>
        <w:t>Consulted roles must be given the opportunity to comment before a decision is finalised, but their silence within the agreed response window does not block the Accountable role's decision.</w:t>
      </w:r>
    </w:p>
    <w:p w14:paraId="EB93AF77">
      <w:pPr>
        <w:pStyle w:val="style179"/>
        <w:numPr>
          <w:ilvl w:val="0"/>
          <w:numId w:val="1"/>
        </w:numPr>
        <w:spacing w:after="80" w:lineRule="auto" w:line="420"/>
        <w:rPr>
          <w:rFonts w:ascii="RobotoStatic" w:cs="Zawgyi-One" w:hAnsi="Source Sans Pro"/>
        </w:rPr>
      </w:pPr>
      <w:r>
        <w:rPr>
          <w:rFonts w:ascii="RobotoStatic" w:cs="Zawgyi-One" w:hAnsi="Source Sans Pro"/>
          <w:sz w:val="21"/>
          <w:szCs w:val="21"/>
        </w:rPr>
        <w:t>Informed roles receive the outcome, not a request for input; including them at the Consulted stage by mistake slows decisions without adding governance value.</w:t>
      </w:r>
    </w:p>
    <w:p w14:paraId="EFD9A47B">
      <w:pPr>
        <w:pStyle w:val="style3"/>
        <w:spacing w:before="200" w:after="100" w:lineRule="auto" w:line="420"/>
        <w:rPr>
          <w:rFonts w:ascii="RobotoStatic" w:cs="Zawgyi-One" w:hAnsi="Source Sans Pro"/>
          <w:color w:val="auto"/>
        </w:rPr>
      </w:pPr>
      <w:r>
        <w:rPr>
          <w:rFonts w:ascii="RobotoStatic" w:cs="Zawgyi-One" w:hAnsi="Source Sans Pro"/>
          <w:b/>
          <w:bCs/>
          <w:color w:val="auto"/>
          <w:sz w:val="21"/>
          <w:szCs w:val="21"/>
        </w:rPr>
        <w:t>Using the RACI matrix during incidents</w:t>
      </w:r>
    </w:p>
    <w:p w14:paraId="C0220223">
      <w:pPr>
        <w:pStyle w:val="style179"/>
        <w:numPr>
          <w:ilvl w:val="0"/>
          <w:numId w:val="1"/>
        </w:numPr>
        <w:spacing w:after="80" w:lineRule="auto" w:line="420"/>
        <w:rPr>
          <w:rFonts w:ascii="RobotoStatic" w:cs="Zawgyi-One" w:hAnsi="Source Sans Pro"/>
        </w:rPr>
      </w:pPr>
      <w:r>
        <w:rPr>
          <w:rFonts w:ascii="RobotoStatic" w:cs="Zawgyi-One" w:hAnsi="Source Sans Pro"/>
          <w:sz w:val="21"/>
          <w:szCs w:val="21"/>
        </w:rPr>
        <w:t>During a live incident, the CISO (or delegate) acts as incident commander regardless of which role is Accountable for the underlying risk decision, per the resolution rule in Section 4.2, item 2.</w:t>
      </w:r>
    </w:p>
    <w:p w14:paraId="18428A47">
      <w:pPr>
        <w:pStyle w:val="style179"/>
        <w:numPr>
          <w:ilvl w:val="0"/>
          <w:numId w:val="1"/>
        </w:numPr>
        <w:spacing w:after="80" w:lineRule="auto" w:line="420"/>
        <w:rPr>
          <w:rFonts w:ascii="RobotoStatic" w:cs="Zawgyi-One" w:hAnsi="Source Sans Pro"/>
        </w:rPr>
      </w:pPr>
      <w:r>
        <w:rPr>
          <w:rFonts w:ascii="RobotoStatic" w:cs="Zawgyi-One" w:hAnsi="Source Sans Pro"/>
          <w:sz w:val="21"/>
          <w:szCs w:val="21"/>
        </w:rPr>
        <w:t>Escalation from one level to the next follows the triggers defined in the Task 5 escalation threshold table, not the judgement of the role currently handling the incident.</w:t>
      </w:r>
    </w:p>
    <w:p w14:paraId="4594BD4F">
      <w:pPr>
        <w:pStyle w:val="style179"/>
        <w:numPr>
          <w:ilvl w:val="0"/>
          <w:numId w:val="1"/>
        </w:numPr>
        <w:spacing w:after="80" w:lineRule="auto" w:line="420"/>
        <w:rPr>
          <w:rFonts w:ascii="RobotoStatic" w:cs="Zawgyi-One" w:hAnsi="Source Sans Pro"/>
        </w:rPr>
      </w:pPr>
      <w:r>
        <w:rPr>
          <w:rFonts w:ascii="RobotoStatic" w:cs="Zawgyi-One" w:hAnsi="Source Sans Pro"/>
          <w:sz w:val="21"/>
          <w:szCs w:val="21"/>
        </w:rPr>
        <w:t>Every RACI-governed decision made during an incident is captured in the decision log (Task 3, Section 3.7 / Task 5, Section 5.4) at the time it is made, not reconstructed afterwards.</w:t>
      </w:r>
    </w:p>
    <w:p w14:paraId="B424A4D8">
      <w:pPr>
        <w:pStyle w:val="style3"/>
        <w:spacing w:before="200" w:after="100" w:lineRule="auto" w:line="420"/>
        <w:rPr>
          <w:rFonts w:ascii="RobotoStatic" w:cs="Zawgyi-One" w:hAnsi="Source Sans Pro"/>
          <w:color w:val="auto"/>
        </w:rPr>
      </w:pPr>
      <w:r>
        <w:rPr>
          <w:rFonts w:ascii="RobotoStatic" w:cs="Zawgyi-One" w:hAnsi="Source Sans Pro"/>
          <w:b/>
          <w:bCs/>
          <w:color w:val="auto"/>
          <w:sz w:val="21"/>
          <w:szCs w:val="21"/>
        </w:rPr>
        <w:t>When the matrix does not give a clear answer</w:t>
      </w:r>
    </w:p>
    <w:p w14:paraId="F2B994BA">
      <w:pPr>
        <w:pStyle w:val="style0"/>
        <w:spacing w:after="160" w:lineRule="auto" w:line="420"/>
        <w:rPr>
          <w:rFonts w:ascii="RobotoStatic" w:cs="Zawgyi-One" w:hAnsi="Source Sans Pro"/>
          <w:sz w:val="21"/>
          <w:szCs w:val="21"/>
        </w:rPr>
      </w:pPr>
      <w:r>
        <w:rPr>
          <w:rFonts w:ascii="RobotoStatic" w:cs="Zawgyi-One" w:hAnsi="Source Sans Pro"/>
          <w:sz w:val="21"/>
          <w:szCs w:val="21"/>
        </w:rPr>
        <w:t>If a manager cannot determine who is Accountable for a specific decision from this matrix, the default rule is to raise it at the next Steering Committee meeting (or, if urgent, to the CISO directly) rather than proceeding without an accountable owner. The matrix is reviewed annually, and immediately after any incident in which an accountability gap is identified.</w:t>
      </w:r>
    </w:p>
    <w:p w14:paraId="75A32CDA">
      <w:pPr>
        <w:pStyle w:val="style0"/>
        <w:spacing w:after="160" w:lineRule="auto" w:line="420"/>
        <w:rPr>
          <w:rFonts w:ascii="RobotoStatic" w:cs="Zawgyi-One" w:hAnsi="Source Sans Pro"/>
          <w:color w:val="auto"/>
        </w:rPr>
      </w:pPr>
    </w:p>
    <w:p w14:paraId="B1A5000D">
      <w:pPr>
        <w:pStyle w:val="style0"/>
        <w:spacing w:after="160" w:lineRule="auto" w:line="420"/>
        <w:rPr>
          <w:rFonts w:ascii="RobotoStatic" w:cs="Zawgyi-One" w:hAnsi="Source Sans Pro"/>
          <w:b/>
          <w:bCs/>
          <w:sz w:val="22"/>
          <w:szCs w:val="22"/>
        </w:rPr>
      </w:pPr>
      <w:r>
        <w:rPr>
          <w:rFonts w:ascii="RobotoStatic" w:cs="Zawgyi-One" w:hAnsi="Source Sans Pro"/>
          <w:b/>
          <w:bCs/>
          <w:sz w:val="22"/>
          <w:szCs w:val="22"/>
          <w:lang w:val="en-US"/>
        </w:rPr>
        <w:t xml:space="preserve">TASK 5: CYBER - RISK ESCALATION AND SEGREGATION OF DUTIES </w:t>
      </w:r>
    </w:p>
    <w:p w14:paraId="772F9F69">
      <w:pPr>
        <w:pStyle w:val="style2"/>
        <w:spacing w:before="280" w:after="140" w:lineRule="auto" w:line="420"/>
        <w:rPr>
          <w:rFonts w:ascii="RobotoStatic" w:cs="Zawgyi-One" w:hAnsi="Source Sans Pro"/>
          <w:color w:val="auto"/>
        </w:rPr>
      </w:pPr>
      <w:r>
        <w:rPr>
          <w:rFonts w:ascii="RobotoStatic" w:cs="Zawgyi-One" w:hAnsi="Source Sans Pro"/>
          <w:b/>
          <w:bCs/>
          <w:color w:val="auto"/>
          <w:sz w:val="24"/>
          <w:szCs w:val="24"/>
        </w:rPr>
        <w:t>5.1 Major Cyber-Risk Escalation Workflow</w:t>
      </w:r>
    </w:p>
    <w:p w14:paraId="48733B07">
      <w:pPr>
        <w:pStyle w:val="style0"/>
        <w:spacing w:after="160" w:lineRule="auto" w:line="420"/>
        <w:rPr>
          <w:rFonts w:ascii="RobotoStatic" w:cs="Zawgyi-One" w:hAnsi="Source Sans Pro"/>
        </w:rPr>
      </w:pPr>
      <w:r>
        <w:rPr>
          <w:rFonts w:ascii="RobotoStatic" w:cs="Zawgyi-One" w:hAnsi="Source Sans Pro"/>
          <w:sz w:val="21"/>
          <w:szCs w:val="21"/>
        </w:rPr>
        <w:t>The workflow below begins with operational detection or identification and ends with the appropriate executive or Board decision, with a decision log recording the outcome at every level.</w:t>
      </w:r>
    </w:p>
    <w:p w14:paraId="AC4E75AB">
      <w:pPr>
        <w:pStyle w:val="style0"/>
        <w:spacing w:before="120" w:after="120" w:lineRule="auto" w:line="420"/>
        <w:jc w:val="center"/>
        <w:rPr>
          <w:rFonts w:ascii="RobotoStatic" w:cs="Zawgyi-One" w:hAnsi="Source Sans Pro"/>
        </w:rPr>
      </w:pPr>
      <w:r>
        <w:rPr>
          <w:rFonts w:ascii="RobotoStatic" w:cs="Zawgyi-One" w:hAnsi="Source Sans Pro"/>
          <w:noProof/>
        </w:rPr>
        <w:drawing>
          <wp:inline distL="0" distT="0" distB="0" distR="0">
            <wp:extent cx="6286500" cy="1809750"/>
            <wp:effectExtent l="0" t="0" r="0" b="0"/>
            <wp:docPr id="1028" name="Picture 3"/>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2" name="Picture 3"/>
                    <pic:cNvPicPr/>
                  </pic:nvPicPr>
                  <pic:blipFill>
                    <a:blip r:embed="rId4" cstate="print"/>
                    <a:srcRect l="0" t="0" r="0" b="0"/>
                    <a:stretch/>
                  </pic:blipFill>
                  <pic:spPr>
                    <a:xfrm rot="0">
                      <a:off x="0" y="0"/>
                      <a:ext cx="6286500" cy="1809750"/>
                    </a:xfrm>
                    <a:prstGeom prst="rect"/>
                  </pic:spPr>
                </pic:pic>
              </a:graphicData>
            </a:graphic>
          </wp:inline>
        </w:drawing>
      </w:r>
    </w:p>
    <w:p w14:paraId="7AA342C5">
      <w:pPr>
        <w:pStyle w:val="style0"/>
        <w:spacing w:after="240" w:lineRule="auto" w:line="420"/>
        <w:jc w:val="center"/>
        <w:rPr>
          <w:rFonts w:ascii="RobotoStatic" w:cs="Zawgyi-One" w:hAnsi="Source Sans Pro"/>
        </w:rPr>
      </w:pPr>
      <w:r>
        <w:rPr>
          <w:rFonts w:ascii="RobotoStatic" w:cs="Zawgyi-One" w:hAnsi="Source Sans Pro"/>
          <w:i/>
          <w:iCs/>
          <w:sz w:val="18"/>
          <w:szCs w:val="18"/>
        </w:rPr>
        <w:t xml:space="preserve">Figure 3 </w:t>
      </w:r>
      <w:r>
        <w:rPr>
          <w:rFonts w:ascii="RobotoStatic" w:cs="Calibri" w:hAnsi="Calibri"/>
          <w:i/>
          <w:iCs/>
          <w:sz w:val="18"/>
          <w:szCs w:val="18"/>
        </w:rPr>
        <w:t>—</w:t>
      </w:r>
      <w:r>
        <w:rPr>
          <w:rFonts w:ascii="RobotoStatic" w:cs="Zawgyi-One" w:hAnsi="Source Sans Pro"/>
          <w:i/>
          <w:iCs/>
          <w:sz w:val="18"/>
          <w:szCs w:val="18"/>
        </w:rPr>
        <w:t xml:space="preserve"> TechGlobal Major Cyber-Risk Escalation Workflow</w:t>
      </w:r>
    </w:p>
    <w:p w14:paraId="383B17B8">
      <w:pPr>
        <w:pStyle w:val="style2"/>
        <w:spacing w:before="280" w:after="140" w:lineRule="auto" w:line="420"/>
        <w:rPr>
          <w:rFonts w:ascii="RobotoStatic" w:cs="Zawgyi-One" w:hAnsi="Source Sans Pro"/>
          <w:color w:val="auto"/>
        </w:rPr>
      </w:pPr>
      <w:r>
        <w:rPr>
          <w:rFonts w:ascii="RobotoStatic" w:cs="Zawgyi-One" w:hAnsi="Source Sans Pro"/>
          <w:b/>
          <w:bCs/>
          <w:color w:val="auto"/>
          <w:sz w:val="24"/>
          <w:szCs w:val="24"/>
        </w:rPr>
        <w:t>5.2 Escalation Threshold Table</w:t>
      </w:r>
    </w:p>
    <w:tbl>
      <w:tblPr>
        <w:tblW w:w="9360" w:type="dxa"/>
        <w:tblInd w:w="-15" w:type="dxa"/>
        <w:tblBorders>
          <w:top w:val="single" w:sz="4" w:space="0" w:color="b9c4ce"/>
          <w:left w:val="single" w:sz="4" w:space="0" w:color="b9c4ce"/>
          <w:bottom w:val="single" w:sz="4" w:space="0" w:color="b9c4ce"/>
          <w:right w:val="single" w:sz="4" w:space="0" w:color="b9c4ce"/>
          <w:insideH w:val="single" w:sz="4" w:space="0" w:color="b9c4ce"/>
          <w:insideV w:val="single" w:sz="4" w:space="0" w:color="b9c4ce"/>
        </w:tblBorders>
        <w:tblCellMar>
          <w:top w:w="0" w:type="dxa"/>
          <w:bottom w:w="0" w:type="dxa"/>
        </w:tblCellMar>
        <w:tblLook w:val="04A0" w:firstRow="1" w:lastRow="0" w:firstColumn="1" w:lastColumn="0" w:noHBand="0" w:noVBand="1"/>
      </w:tblPr>
      <w:tblGrid>
        <w:gridCol w:w="1695"/>
        <w:gridCol w:w="2647"/>
        <w:gridCol w:w="1895"/>
        <w:gridCol w:w="1900"/>
        <w:gridCol w:w="1224"/>
      </w:tblGrid>
      <w:tr w14:paraId="58FAD8CA">
        <w:trPr>
          <w:tblHeader/>
        </w:trPr>
        <w:tc>
          <w:tcPr>
            <w:tcW w:w="1700" w:type="dxa"/>
            <w:tcBorders/>
            <w:shd w:val="clear" w:color="auto" w:fill="auto"/>
            <w:tcMar>
              <w:top w:w="80" w:type="dxa"/>
              <w:left w:w="100" w:type="dxa"/>
              <w:bottom w:w="80" w:type="dxa"/>
              <w:right w:w="100" w:type="dxa"/>
            </w:tcMar>
            <w:vAlign w:val="center"/>
          </w:tcPr>
          <w:p w14:paraId="AFB5BC99">
            <w:pPr>
              <w:pStyle w:val="style0"/>
              <w:spacing w:lineRule="auto" w:line="420"/>
              <w:jc w:val="center"/>
              <w:rPr>
                <w:rFonts w:ascii="RobotoStatic" w:cs="Zawgyi-One" w:hAnsi="Source Sans Pro"/>
              </w:rPr>
            </w:pPr>
            <w:r>
              <w:rPr>
                <w:rFonts w:ascii="RobotoStatic" w:cs="Zawgyi-One" w:hAnsi="Source Sans Pro"/>
                <w:b/>
                <w:bCs/>
                <w:sz w:val="18"/>
                <w:szCs w:val="18"/>
              </w:rPr>
              <w:t>Level</w:t>
            </w:r>
          </w:p>
        </w:tc>
        <w:tc>
          <w:tcPr>
            <w:tcW w:w="2660" w:type="dxa"/>
            <w:tcBorders/>
            <w:shd w:val="clear" w:color="auto" w:fill="auto"/>
            <w:tcMar>
              <w:top w:w="80" w:type="dxa"/>
              <w:left w:w="100" w:type="dxa"/>
              <w:bottom w:w="80" w:type="dxa"/>
              <w:right w:w="100" w:type="dxa"/>
            </w:tcMar>
            <w:vAlign w:val="center"/>
          </w:tcPr>
          <w:p w14:paraId="2DF528FB">
            <w:pPr>
              <w:pStyle w:val="style0"/>
              <w:spacing w:lineRule="auto" w:line="420"/>
              <w:jc w:val="center"/>
              <w:rPr>
                <w:rFonts w:ascii="RobotoStatic" w:cs="Zawgyi-One" w:hAnsi="Source Sans Pro"/>
              </w:rPr>
            </w:pPr>
            <w:r>
              <w:rPr>
                <w:rFonts w:ascii="RobotoStatic" w:cs="Zawgyi-One" w:hAnsi="Source Sans Pro"/>
                <w:b/>
                <w:bCs/>
                <w:sz w:val="18"/>
                <w:szCs w:val="18"/>
              </w:rPr>
              <w:t>Example Trigger</w:t>
            </w:r>
          </w:p>
        </w:tc>
        <w:tc>
          <w:tcPr>
            <w:tcW w:w="1900" w:type="dxa"/>
            <w:tcBorders/>
            <w:shd w:val="clear" w:color="auto" w:fill="auto"/>
            <w:tcMar>
              <w:top w:w="80" w:type="dxa"/>
              <w:left w:w="100" w:type="dxa"/>
              <w:bottom w:w="80" w:type="dxa"/>
              <w:right w:w="100" w:type="dxa"/>
            </w:tcMar>
            <w:vAlign w:val="center"/>
          </w:tcPr>
          <w:p w14:paraId="C39DE0F1">
            <w:pPr>
              <w:pStyle w:val="style0"/>
              <w:spacing w:lineRule="auto" w:line="420"/>
              <w:jc w:val="center"/>
              <w:rPr>
                <w:rFonts w:ascii="RobotoStatic" w:cs="Zawgyi-One" w:hAnsi="Source Sans Pro"/>
              </w:rPr>
            </w:pPr>
            <w:r>
              <w:rPr>
                <w:rFonts w:ascii="RobotoStatic" w:cs="Zawgyi-One" w:hAnsi="Source Sans Pro"/>
                <w:b/>
                <w:bCs/>
                <w:sz w:val="18"/>
                <w:szCs w:val="18"/>
              </w:rPr>
              <w:t>Decision Authority</w:t>
            </w:r>
          </w:p>
        </w:tc>
        <w:tc>
          <w:tcPr>
            <w:tcW w:w="1900" w:type="dxa"/>
            <w:tcBorders/>
            <w:shd w:val="clear" w:color="auto" w:fill="auto"/>
            <w:tcMar>
              <w:top w:w="80" w:type="dxa"/>
              <w:left w:w="100" w:type="dxa"/>
              <w:bottom w:w="80" w:type="dxa"/>
              <w:right w:w="100" w:type="dxa"/>
            </w:tcMar>
            <w:vAlign w:val="center"/>
          </w:tcPr>
          <w:p w14:paraId="D83C718A">
            <w:pPr>
              <w:pStyle w:val="style0"/>
              <w:spacing w:lineRule="auto" w:line="420"/>
              <w:jc w:val="center"/>
              <w:rPr>
                <w:rFonts w:ascii="RobotoStatic" w:cs="Zawgyi-One" w:hAnsi="Source Sans Pro"/>
              </w:rPr>
            </w:pPr>
            <w:r>
              <w:rPr>
                <w:rFonts w:ascii="RobotoStatic" w:cs="Zawgyi-One" w:hAnsi="Source Sans Pro"/>
                <w:b/>
                <w:bCs/>
                <w:sz w:val="18"/>
                <w:szCs w:val="18"/>
              </w:rPr>
              <w:t>Required Notification</w:t>
            </w:r>
          </w:p>
        </w:tc>
        <w:tc>
          <w:tcPr>
            <w:tcW w:w="1200" w:type="dxa"/>
            <w:tcBorders/>
            <w:shd w:val="clear" w:color="auto" w:fill="auto"/>
            <w:tcMar>
              <w:top w:w="80" w:type="dxa"/>
              <w:left w:w="100" w:type="dxa"/>
              <w:bottom w:w="80" w:type="dxa"/>
              <w:right w:w="100" w:type="dxa"/>
            </w:tcMar>
            <w:vAlign w:val="center"/>
          </w:tcPr>
          <w:p w14:paraId="ADFD3A04">
            <w:pPr>
              <w:pStyle w:val="style0"/>
              <w:spacing w:lineRule="auto" w:line="420"/>
              <w:jc w:val="center"/>
              <w:rPr>
                <w:rFonts w:ascii="RobotoStatic" w:cs="Zawgyi-One" w:hAnsi="Source Sans Pro"/>
              </w:rPr>
            </w:pPr>
            <w:r>
              <w:rPr>
                <w:rFonts w:ascii="RobotoStatic" w:cs="Zawgyi-One" w:hAnsi="Source Sans Pro"/>
                <w:b/>
                <w:bCs/>
                <w:sz w:val="18"/>
                <w:szCs w:val="18"/>
              </w:rPr>
              <w:t>Target Response Time</w:t>
            </w:r>
          </w:p>
        </w:tc>
      </w:tr>
      <w:tr w14:paraId="A431313D">
        <w:tblPrEx/>
        <w:trPr/>
        <w:tc>
          <w:tcPr>
            <w:tcW w:w="1700" w:type="dxa"/>
            <w:tcBorders/>
            <w:shd w:val="clear" w:color="auto" w:fill="auto"/>
            <w:tcMar>
              <w:top w:w="80" w:type="dxa"/>
              <w:left w:w="100" w:type="dxa"/>
              <w:bottom w:w="80" w:type="dxa"/>
              <w:right w:w="100" w:type="dxa"/>
            </w:tcMar>
            <w:vAlign w:val="center"/>
          </w:tcPr>
          <w:p w14:paraId="88F1EB04">
            <w:pPr>
              <w:pStyle w:val="style0"/>
              <w:spacing w:lineRule="auto" w:line="420"/>
              <w:rPr>
                <w:rFonts w:ascii="RobotoStatic" w:cs="Zawgyi-One" w:hAnsi="Source Sans Pro"/>
              </w:rPr>
            </w:pPr>
            <w:r>
              <w:rPr>
                <w:rFonts w:ascii="RobotoStatic" w:cs="Zawgyi-One" w:hAnsi="Source Sans Pro"/>
                <w:sz w:val="18"/>
                <w:szCs w:val="18"/>
              </w:rPr>
              <w:t>Operational</w:t>
            </w:r>
          </w:p>
        </w:tc>
        <w:tc>
          <w:tcPr>
            <w:tcW w:w="2660" w:type="dxa"/>
            <w:tcBorders/>
            <w:shd w:val="clear" w:color="auto" w:fill="auto"/>
            <w:tcMar>
              <w:top w:w="80" w:type="dxa"/>
              <w:left w:w="100" w:type="dxa"/>
              <w:bottom w:w="80" w:type="dxa"/>
              <w:right w:w="100" w:type="dxa"/>
            </w:tcMar>
            <w:vAlign w:val="center"/>
          </w:tcPr>
          <w:p w14:paraId="CAC220A3">
            <w:pPr>
              <w:pStyle w:val="style0"/>
              <w:spacing w:lineRule="auto" w:line="420"/>
              <w:rPr>
                <w:rFonts w:ascii="RobotoStatic" w:cs="Zawgyi-One" w:hAnsi="Source Sans Pro"/>
              </w:rPr>
            </w:pPr>
            <w:r>
              <w:rPr>
                <w:rFonts w:ascii="RobotoStatic" w:cs="Zawgyi-One" w:hAnsi="Source Sans Pro"/>
                <w:sz w:val="18"/>
                <w:szCs w:val="18"/>
              </w:rPr>
              <w:t>Isolated malware detection, single-user phishing click with no data loss, low-severity vulnerability finding</w:t>
            </w:r>
          </w:p>
        </w:tc>
        <w:tc>
          <w:tcPr>
            <w:tcW w:w="1900" w:type="dxa"/>
            <w:tcBorders/>
            <w:shd w:val="clear" w:color="auto" w:fill="auto"/>
            <w:tcMar>
              <w:top w:w="80" w:type="dxa"/>
              <w:left w:w="100" w:type="dxa"/>
              <w:bottom w:w="80" w:type="dxa"/>
              <w:right w:w="100" w:type="dxa"/>
            </w:tcMar>
            <w:vAlign w:val="center"/>
          </w:tcPr>
          <w:p w14:paraId="F7748ED5">
            <w:pPr>
              <w:pStyle w:val="style0"/>
              <w:spacing w:lineRule="auto" w:line="420"/>
              <w:rPr>
                <w:rFonts w:ascii="RobotoStatic" w:cs="Zawgyi-One" w:hAnsi="Source Sans Pro"/>
              </w:rPr>
            </w:pPr>
            <w:r>
              <w:rPr>
                <w:rFonts w:ascii="RobotoStatic" w:cs="Zawgyi-One" w:hAnsi="Source Sans Pro"/>
                <w:sz w:val="18"/>
                <w:szCs w:val="18"/>
              </w:rPr>
              <w:t>Security Manager / IT (Responsible), CISO informed</w:t>
            </w:r>
          </w:p>
        </w:tc>
        <w:tc>
          <w:tcPr>
            <w:tcW w:w="1900" w:type="dxa"/>
            <w:tcBorders/>
            <w:shd w:val="clear" w:color="auto" w:fill="auto"/>
            <w:tcMar>
              <w:top w:w="80" w:type="dxa"/>
              <w:left w:w="100" w:type="dxa"/>
              <w:bottom w:w="80" w:type="dxa"/>
              <w:right w:w="100" w:type="dxa"/>
            </w:tcMar>
            <w:vAlign w:val="center"/>
          </w:tcPr>
          <w:p w14:paraId="259ECB6A">
            <w:pPr>
              <w:pStyle w:val="style0"/>
              <w:spacing w:lineRule="auto" w:line="420"/>
              <w:rPr>
                <w:rFonts w:ascii="RobotoStatic" w:cs="Zawgyi-One" w:hAnsi="Source Sans Pro"/>
              </w:rPr>
            </w:pPr>
            <w:r>
              <w:rPr>
                <w:rFonts w:ascii="RobotoStatic" w:cs="Zawgyi-One" w:hAnsi="Source Sans Pro"/>
                <w:sz w:val="18"/>
                <w:szCs w:val="18"/>
              </w:rPr>
              <w:t>Logged in incident system; summarised in monthly Steering Committee report</w:t>
            </w:r>
          </w:p>
        </w:tc>
        <w:tc>
          <w:tcPr>
            <w:tcW w:w="1200" w:type="dxa"/>
            <w:tcBorders/>
            <w:shd w:val="clear" w:color="auto" w:fill="auto"/>
            <w:tcMar>
              <w:top w:w="80" w:type="dxa"/>
              <w:left w:w="100" w:type="dxa"/>
              <w:bottom w:w="80" w:type="dxa"/>
              <w:right w:w="100" w:type="dxa"/>
            </w:tcMar>
            <w:vAlign w:val="center"/>
          </w:tcPr>
          <w:p w14:paraId="C3386CA1">
            <w:pPr>
              <w:pStyle w:val="style0"/>
              <w:spacing w:lineRule="auto" w:line="420"/>
              <w:rPr>
                <w:rFonts w:ascii="RobotoStatic" w:cs="Zawgyi-One" w:hAnsi="Source Sans Pro"/>
              </w:rPr>
            </w:pPr>
            <w:r>
              <w:rPr>
                <w:rFonts w:ascii="RobotoStatic" w:cs="Zawgyi-One" w:hAnsi="Source Sans Pro"/>
                <w:sz w:val="18"/>
                <w:szCs w:val="18"/>
              </w:rPr>
              <w:t>Contain within 4 hours; close within 5 business days</w:t>
            </w:r>
          </w:p>
        </w:tc>
      </w:tr>
      <w:tr w14:paraId="DF6CF8E7">
        <w:tblPrEx/>
        <w:trPr/>
        <w:tc>
          <w:tcPr>
            <w:tcW w:w="1700" w:type="dxa"/>
            <w:tcBorders/>
            <w:shd w:val="clear" w:color="auto" w:fill="auto"/>
            <w:tcMar>
              <w:top w:w="80" w:type="dxa"/>
              <w:left w:w="100" w:type="dxa"/>
              <w:bottom w:w="80" w:type="dxa"/>
              <w:right w:w="100" w:type="dxa"/>
            </w:tcMar>
            <w:vAlign w:val="center"/>
          </w:tcPr>
          <w:p w14:paraId="64FC3A9F">
            <w:pPr>
              <w:pStyle w:val="style0"/>
              <w:spacing w:lineRule="auto" w:line="420"/>
              <w:rPr>
                <w:rFonts w:ascii="RobotoStatic" w:cs="Zawgyi-One" w:hAnsi="Source Sans Pro"/>
              </w:rPr>
            </w:pPr>
            <w:r>
              <w:rPr>
                <w:rFonts w:ascii="RobotoStatic" w:cs="Zawgyi-One" w:hAnsi="Source Sans Pro"/>
                <w:sz w:val="18"/>
                <w:szCs w:val="18"/>
              </w:rPr>
              <w:t>Executive</w:t>
            </w:r>
          </w:p>
        </w:tc>
        <w:tc>
          <w:tcPr>
            <w:tcW w:w="2660" w:type="dxa"/>
            <w:tcBorders/>
            <w:shd w:val="clear" w:color="auto" w:fill="auto"/>
            <w:tcMar>
              <w:top w:w="80" w:type="dxa"/>
              <w:left w:w="100" w:type="dxa"/>
              <w:bottom w:w="80" w:type="dxa"/>
              <w:right w:w="100" w:type="dxa"/>
            </w:tcMar>
            <w:vAlign w:val="center"/>
          </w:tcPr>
          <w:p w14:paraId="0E5FA070">
            <w:pPr>
              <w:pStyle w:val="style0"/>
              <w:spacing w:lineRule="auto" w:line="420"/>
              <w:rPr>
                <w:rFonts w:ascii="RobotoStatic" w:cs="Zawgyi-One" w:hAnsi="Source Sans Pro"/>
              </w:rPr>
            </w:pPr>
            <w:r>
              <w:rPr>
                <w:rFonts w:ascii="RobotoStatic" w:cs="Zawgyi-One" w:hAnsi="Source Sans Pro"/>
                <w:sz w:val="18"/>
                <w:szCs w:val="18"/>
              </w:rPr>
              <w:t>Confirmed compromise of a business system, suspected data exposure, multi-office impact, high-severity unpatched vulnerability in production</w:t>
            </w:r>
          </w:p>
        </w:tc>
        <w:tc>
          <w:tcPr>
            <w:tcW w:w="1900" w:type="dxa"/>
            <w:tcBorders/>
            <w:shd w:val="clear" w:color="auto" w:fill="auto"/>
            <w:tcMar>
              <w:top w:w="80" w:type="dxa"/>
              <w:left w:w="100" w:type="dxa"/>
              <w:bottom w:w="80" w:type="dxa"/>
              <w:right w:w="100" w:type="dxa"/>
            </w:tcMar>
            <w:vAlign w:val="center"/>
          </w:tcPr>
          <w:p w14:paraId="F8BB04BD">
            <w:pPr>
              <w:pStyle w:val="style0"/>
              <w:spacing w:lineRule="auto" w:line="420"/>
              <w:rPr>
                <w:rFonts w:ascii="RobotoStatic" w:cs="Zawgyi-One" w:hAnsi="Source Sans Pro"/>
              </w:rPr>
            </w:pPr>
            <w:r>
              <w:rPr>
                <w:rFonts w:ascii="RobotoStatic" w:cs="Zawgyi-One" w:hAnsi="Source Sans Pro"/>
                <w:sz w:val="18"/>
                <w:szCs w:val="18"/>
              </w:rPr>
              <w:t>CISO and CRO jointly (Executive Review); affected BU consulted</w:t>
            </w:r>
          </w:p>
        </w:tc>
        <w:tc>
          <w:tcPr>
            <w:tcW w:w="1900" w:type="dxa"/>
            <w:tcBorders/>
            <w:shd w:val="clear" w:color="auto" w:fill="auto"/>
            <w:tcMar>
              <w:top w:w="80" w:type="dxa"/>
              <w:left w:w="100" w:type="dxa"/>
              <w:bottom w:w="80" w:type="dxa"/>
              <w:right w:w="100" w:type="dxa"/>
            </w:tcMar>
            <w:vAlign w:val="center"/>
          </w:tcPr>
          <w:p w14:paraId="B8FFBEC2">
            <w:pPr>
              <w:pStyle w:val="style0"/>
              <w:spacing w:lineRule="auto" w:line="420"/>
              <w:rPr>
                <w:rFonts w:ascii="RobotoStatic" w:cs="Zawgyi-One" w:hAnsi="Source Sans Pro"/>
              </w:rPr>
            </w:pPr>
            <w:r>
              <w:rPr>
                <w:rFonts w:ascii="RobotoStatic" w:cs="Zawgyi-One" w:hAnsi="Source Sans Pro"/>
                <w:sz w:val="18"/>
                <w:szCs w:val="18"/>
              </w:rPr>
              <w:t>CISO briefs Executive Security Council within 24 hours; Legal notified for regulatory assessment</w:t>
            </w:r>
          </w:p>
        </w:tc>
        <w:tc>
          <w:tcPr>
            <w:tcW w:w="1200" w:type="dxa"/>
            <w:tcBorders/>
            <w:shd w:val="clear" w:color="auto" w:fill="auto"/>
            <w:tcMar>
              <w:top w:w="80" w:type="dxa"/>
              <w:left w:w="100" w:type="dxa"/>
              <w:bottom w:w="80" w:type="dxa"/>
              <w:right w:w="100" w:type="dxa"/>
            </w:tcMar>
            <w:vAlign w:val="center"/>
          </w:tcPr>
          <w:p w14:paraId="6817880A">
            <w:pPr>
              <w:pStyle w:val="style0"/>
              <w:spacing w:lineRule="auto" w:line="420"/>
              <w:rPr>
                <w:rFonts w:ascii="RobotoStatic" w:cs="Zawgyi-One" w:hAnsi="Source Sans Pro"/>
              </w:rPr>
            </w:pPr>
            <w:r>
              <w:rPr>
                <w:rFonts w:ascii="RobotoStatic" w:cs="Zawgyi-One" w:hAnsi="Source Sans Pro"/>
                <w:sz w:val="18"/>
                <w:szCs w:val="18"/>
              </w:rPr>
              <w:t>Executive decision within 24</w:t>
            </w:r>
            <w:r>
              <w:rPr>
                <w:rFonts w:ascii="RobotoStatic" w:cs="Calibri" w:hAnsi="Calibri"/>
                <w:sz w:val="18"/>
                <w:szCs w:val="18"/>
              </w:rPr>
              <w:t>–</w:t>
            </w:r>
            <w:r>
              <w:rPr>
                <w:rFonts w:ascii="RobotoStatic" w:cs="Zawgyi-One" w:hAnsi="Source Sans Pro"/>
                <w:sz w:val="18"/>
                <w:szCs w:val="18"/>
              </w:rPr>
              <w:t>48 hours of confirmation</w:t>
            </w:r>
          </w:p>
        </w:tc>
      </w:tr>
      <w:tr w14:paraId="418F1FFC">
        <w:tblPrEx/>
        <w:trPr/>
        <w:tc>
          <w:tcPr>
            <w:tcW w:w="1700" w:type="dxa"/>
            <w:tcBorders/>
            <w:shd w:val="clear" w:color="auto" w:fill="auto"/>
            <w:tcMar>
              <w:top w:w="80" w:type="dxa"/>
              <w:left w:w="100" w:type="dxa"/>
              <w:bottom w:w="80" w:type="dxa"/>
              <w:right w:w="100" w:type="dxa"/>
            </w:tcMar>
            <w:vAlign w:val="center"/>
          </w:tcPr>
          <w:p w14:paraId="C28DA06E">
            <w:pPr>
              <w:pStyle w:val="style0"/>
              <w:spacing w:lineRule="auto" w:line="420"/>
              <w:rPr>
                <w:rFonts w:ascii="RobotoStatic" w:cs="Zawgyi-One" w:hAnsi="Source Sans Pro"/>
              </w:rPr>
            </w:pPr>
            <w:r>
              <w:rPr>
                <w:rFonts w:ascii="RobotoStatic" w:cs="Zawgyi-One" w:hAnsi="Source Sans Pro"/>
                <w:sz w:val="18"/>
                <w:szCs w:val="18"/>
              </w:rPr>
              <w:t>Board / Material Risk</w:t>
            </w:r>
          </w:p>
        </w:tc>
        <w:tc>
          <w:tcPr>
            <w:tcW w:w="2660" w:type="dxa"/>
            <w:tcBorders/>
            <w:shd w:val="clear" w:color="auto" w:fill="auto"/>
            <w:tcMar>
              <w:top w:w="80" w:type="dxa"/>
              <w:left w:w="100" w:type="dxa"/>
              <w:bottom w:w="80" w:type="dxa"/>
              <w:right w:w="100" w:type="dxa"/>
            </w:tcMar>
            <w:vAlign w:val="center"/>
          </w:tcPr>
          <w:p w14:paraId="5C51DB92">
            <w:pPr>
              <w:pStyle w:val="style0"/>
              <w:spacing w:lineRule="auto" w:line="420"/>
              <w:rPr>
                <w:rFonts w:ascii="RobotoStatic" w:cs="Zawgyi-One" w:hAnsi="Source Sans Pro"/>
              </w:rPr>
            </w:pPr>
            <w:r>
              <w:rPr>
                <w:rFonts w:ascii="RobotoStatic" w:cs="Zawgyi-One" w:hAnsi="Source Sans Pro"/>
                <w:sz w:val="18"/>
                <w:szCs w:val="18"/>
              </w:rPr>
              <w:t>Confirmed personal-data breach meeting regulatory notification criteria, ransomware affecting multiple offices, financial loss above CRO-defined materiality threshold, reputational crisis</w:t>
            </w:r>
          </w:p>
        </w:tc>
        <w:tc>
          <w:tcPr>
            <w:tcW w:w="1900" w:type="dxa"/>
            <w:tcBorders/>
            <w:shd w:val="clear" w:color="auto" w:fill="auto"/>
            <w:tcMar>
              <w:top w:w="80" w:type="dxa"/>
              <w:left w:w="100" w:type="dxa"/>
              <w:bottom w:w="80" w:type="dxa"/>
              <w:right w:w="100" w:type="dxa"/>
            </w:tcMar>
            <w:vAlign w:val="center"/>
          </w:tcPr>
          <w:p w14:paraId="FA2CFA8C">
            <w:pPr>
              <w:pStyle w:val="style0"/>
              <w:spacing w:lineRule="auto" w:line="420"/>
              <w:rPr>
                <w:rFonts w:ascii="RobotoStatic" w:cs="Zawgyi-One" w:hAnsi="Source Sans Pro"/>
              </w:rPr>
            </w:pPr>
            <w:r>
              <w:rPr>
                <w:rFonts w:ascii="RobotoStatic" w:cs="Zawgyi-One" w:hAnsi="Source Sans Pro"/>
                <w:sz w:val="18"/>
                <w:szCs w:val="18"/>
              </w:rPr>
              <w:t>Executive Security Council recommends; CEO and/or Board Risk &amp; Audit Committee decides</w:t>
            </w:r>
          </w:p>
        </w:tc>
        <w:tc>
          <w:tcPr>
            <w:tcW w:w="1900" w:type="dxa"/>
            <w:tcBorders/>
            <w:shd w:val="clear" w:color="auto" w:fill="auto"/>
            <w:tcMar>
              <w:top w:w="80" w:type="dxa"/>
              <w:left w:w="100" w:type="dxa"/>
              <w:bottom w:w="80" w:type="dxa"/>
              <w:right w:w="100" w:type="dxa"/>
            </w:tcMar>
            <w:vAlign w:val="center"/>
          </w:tcPr>
          <w:p w14:paraId="6D8E37B6">
            <w:pPr>
              <w:pStyle w:val="style0"/>
              <w:spacing w:lineRule="auto" w:line="420"/>
              <w:rPr>
                <w:rFonts w:ascii="RobotoStatic" w:cs="Zawgyi-One" w:hAnsi="Source Sans Pro"/>
              </w:rPr>
            </w:pPr>
            <w:r>
              <w:rPr>
                <w:rFonts w:ascii="RobotoStatic" w:cs="Zawgyi-One" w:hAnsi="Source Sans Pro"/>
                <w:sz w:val="18"/>
                <w:szCs w:val="18"/>
              </w:rPr>
              <w:t>Board notified within 24 hours; regulatory notification per Legal's assessment and statutory deadlines; CEO leads external/stakeholder communication</w:t>
            </w:r>
          </w:p>
        </w:tc>
        <w:tc>
          <w:tcPr>
            <w:tcW w:w="1200" w:type="dxa"/>
            <w:tcBorders/>
            <w:shd w:val="clear" w:color="auto" w:fill="auto"/>
            <w:tcMar>
              <w:top w:w="80" w:type="dxa"/>
              <w:left w:w="100" w:type="dxa"/>
              <w:bottom w:w="80" w:type="dxa"/>
              <w:right w:w="100" w:type="dxa"/>
            </w:tcMar>
            <w:vAlign w:val="center"/>
          </w:tcPr>
          <w:p w14:paraId="1AA09AD8">
            <w:pPr>
              <w:pStyle w:val="style0"/>
              <w:spacing w:lineRule="auto" w:line="420"/>
              <w:rPr>
                <w:rFonts w:ascii="RobotoStatic" w:cs="Zawgyi-One" w:hAnsi="Source Sans Pro"/>
              </w:rPr>
            </w:pPr>
            <w:r>
              <w:rPr>
                <w:rFonts w:ascii="RobotoStatic" w:cs="Zawgyi-One" w:hAnsi="Source Sans Pro"/>
                <w:sz w:val="18"/>
                <w:szCs w:val="18"/>
              </w:rPr>
              <w:t>Initial Board briefing within 24 hours; full decision trail within 5 business days</w:t>
            </w:r>
          </w:p>
        </w:tc>
      </w:tr>
    </w:tbl>
    <w:p w14:paraId="AC99756E">
      <w:pPr>
        <w:pStyle w:val="style2"/>
        <w:spacing w:before="280" w:after="140" w:lineRule="auto" w:line="420"/>
        <w:rPr>
          <w:rFonts w:ascii="RobotoStatic" w:cs="Zawgyi-One" w:hAnsi="Source Sans Pro"/>
          <w:color w:val="auto"/>
        </w:rPr>
      </w:pPr>
      <w:r>
        <w:rPr>
          <w:rFonts w:ascii="RobotoStatic" w:cs="Zawgyi-One" w:hAnsi="Source Sans Pro"/>
          <w:b/>
          <w:bCs/>
          <w:color w:val="auto"/>
          <w:sz w:val="24"/>
          <w:szCs w:val="24"/>
        </w:rPr>
        <w:t>5.3 Segregation-of-Duties / Accountability Weakness Register</w:t>
      </w:r>
    </w:p>
    <w:p w14:paraId="19452D8D">
      <w:pPr>
        <w:pStyle w:val="style0"/>
        <w:spacing w:after="160" w:lineRule="auto" w:line="420"/>
        <w:rPr>
          <w:rFonts w:ascii="RobotoStatic" w:cs="Zawgyi-One" w:hAnsi="Source Sans Pro"/>
        </w:rPr>
      </w:pPr>
      <w:r>
        <w:rPr>
          <w:rFonts w:ascii="RobotoStatic" w:cs="Zawgyi-One" w:hAnsi="Source Sans Pro"/>
          <w:sz w:val="21"/>
          <w:szCs w:val="21"/>
        </w:rPr>
        <w:t xml:space="preserve">The register below identifies five segregation-of-duties or accountability weaknesses in TechGlobal's current IT-centric model and recommends a proportionate control for each </w:t>
      </w:r>
      <w:r>
        <w:rPr>
          <w:rFonts w:ascii="RobotoStatic" w:cs="Calibri" w:hAnsi="Calibri"/>
          <w:sz w:val="21"/>
          <w:szCs w:val="21"/>
        </w:rPr>
        <w:t>—</w:t>
      </w:r>
      <w:r>
        <w:rPr>
          <w:rFonts w:ascii="RobotoStatic" w:cs="Zawgyi-One" w:hAnsi="Source Sans Pro"/>
          <w:sz w:val="21"/>
          <w:szCs w:val="21"/>
        </w:rPr>
        <w:t xml:space="preserve"> extending the Appendix F template.</w:t>
      </w:r>
    </w:p>
    <w:bookmarkStart w:id="0" w:name="_GoBack"/>
    <w:tbl>
      <w:tblPr>
        <w:tblW w:w="9960" w:type="dxa"/>
        <w:tblInd w:w="-15" w:type="dxa"/>
        <w:tblBorders>
          <w:top w:val="single" w:sz="4" w:space="0" w:color="b9c4ce"/>
          <w:left w:val="single" w:sz="4" w:space="0" w:color="b9c4ce"/>
          <w:bottom w:val="single" w:sz="4" w:space="0" w:color="b9c4ce"/>
          <w:right w:val="single" w:sz="4" w:space="0" w:color="b9c4ce"/>
          <w:insideH w:val="single" w:sz="4" w:space="0" w:color="b9c4ce"/>
          <w:insideV w:val="single" w:sz="4" w:space="0" w:color="b9c4ce"/>
        </w:tblBorders>
        <w:tblCellMar>
          <w:top w:w="0" w:type="dxa"/>
          <w:bottom w:w="0" w:type="dxa"/>
        </w:tblCellMar>
        <w:tblLook w:val="04A0" w:firstRow="1" w:lastRow="0" w:firstColumn="1" w:lastColumn="0" w:noHBand="0" w:noVBand="1"/>
      </w:tblPr>
      <w:tblGrid>
        <w:gridCol w:w="394"/>
        <w:gridCol w:w="1333"/>
        <w:gridCol w:w="2054"/>
        <w:gridCol w:w="1575"/>
        <w:gridCol w:w="1239"/>
        <w:gridCol w:w="2054"/>
        <w:gridCol w:w="1313"/>
      </w:tblGrid>
      <w:tr w14:paraId="814281D2">
        <w:trPr>
          <w:tblHeader/>
        </w:trPr>
        <w:tc>
          <w:tcPr>
            <w:tcW w:w="400" w:type="dxa"/>
            <w:tcBorders/>
            <w:shd w:val="clear" w:color="auto" w:fill="auto"/>
            <w:tcMar>
              <w:top w:w="80" w:type="dxa"/>
              <w:left w:w="100" w:type="dxa"/>
              <w:bottom w:w="80" w:type="dxa"/>
              <w:right w:w="100" w:type="dxa"/>
            </w:tcMar>
            <w:vAlign w:val="center"/>
          </w:tcPr>
          <w:p w14:paraId="ADF3E745">
            <w:pPr>
              <w:pStyle w:val="style0"/>
              <w:spacing w:lineRule="auto" w:line="420"/>
              <w:jc w:val="center"/>
              <w:rPr>
                <w:rFonts w:ascii="RobotoStatic" w:cs="Zawgyi-One" w:hAnsi="Source Sans Pro"/>
              </w:rPr>
            </w:pPr>
            <w:r>
              <w:rPr>
                <w:rFonts w:ascii="RobotoStatic" w:cs="Zawgyi-One" w:hAnsi="Source Sans Pro"/>
                <w:b/>
                <w:bCs/>
                <w:sz w:val="18"/>
                <w:szCs w:val="18"/>
              </w:rPr>
              <w:t>ID</w:t>
            </w:r>
          </w:p>
        </w:tc>
        <w:tc>
          <w:tcPr>
            <w:tcW w:w="1350" w:type="dxa"/>
            <w:tcBorders/>
            <w:shd w:val="clear" w:color="auto" w:fill="auto"/>
            <w:tcMar>
              <w:top w:w="80" w:type="dxa"/>
              <w:left w:w="100" w:type="dxa"/>
              <w:bottom w:w="80" w:type="dxa"/>
              <w:right w:w="100" w:type="dxa"/>
            </w:tcMar>
            <w:vAlign w:val="center"/>
          </w:tcPr>
          <w:p w14:paraId="2D4D0837">
            <w:pPr>
              <w:pStyle w:val="style0"/>
              <w:spacing w:lineRule="auto" w:line="420"/>
              <w:jc w:val="center"/>
              <w:rPr>
                <w:rFonts w:ascii="RobotoStatic" w:cs="Zawgyi-One" w:hAnsi="Source Sans Pro"/>
              </w:rPr>
            </w:pPr>
            <w:r>
              <w:rPr>
                <w:rFonts w:ascii="RobotoStatic" w:cs="Zawgyi-One" w:hAnsi="Source Sans Pro"/>
                <w:b/>
                <w:bCs/>
                <w:sz w:val="18"/>
                <w:szCs w:val="18"/>
              </w:rPr>
              <w:t>Process Area</w:t>
            </w:r>
          </w:p>
        </w:tc>
        <w:tc>
          <w:tcPr>
            <w:tcW w:w="2150" w:type="dxa"/>
            <w:tcBorders/>
            <w:shd w:val="clear" w:color="auto" w:fill="auto"/>
            <w:tcMar>
              <w:top w:w="80" w:type="dxa"/>
              <w:left w:w="100" w:type="dxa"/>
              <w:bottom w:w="80" w:type="dxa"/>
              <w:right w:w="100" w:type="dxa"/>
            </w:tcMar>
            <w:vAlign w:val="center"/>
          </w:tcPr>
          <w:p w14:paraId="E54AAF6F">
            <w:pPr>
              <w:pStyle w:val="style0"/>
              <w:spacing w:lineRule="auto" w:line="420"/>
              <w:jc w:val="center"/>
              <w:rPr>
                <w:rFonts w:ascii="RobotoStatic" w:cs="Zawgyi-One" w:hAnsi="Source Sans Pro"/>
              </w:rPr>
            </w:pPr>
            <w:r>
              <w:rPr>
                <w:rFonts w:ascii="RobotoStatic" w:cs="Zawgyi-One" w:hAnsi="Source Sans Pro"/>
                <w:b/>
                <w:bCs/>
                <w:sz w:val="18"/>
                <w:szCs w:val="18"/>
              </w:rPr>
              <w:t>Weakness / Conflict</w:t>
            </w:r>
          </w:p>
        </w:tc>
        <w:tc>
          <w:tcPr>
            <w:tcW w:w="1650" w:type="dxa"/>
            <w:tcBorders/>
            <w:shd w:val="clear" w:color="auto" w:fill="auto"/>
            <w:tcMar>
              <w:top w:w="80" w:type="dxa"/>
              <w:left w:w="100" w:type="dxa"/>
              <w:bottom w:w="80" w:type="dxa"/>
              <w:right w:w="100" w:type="dxa"/>
            </w:tcMar>
            <w:vAlign w:val="center"/>
          </w:tcPr>
          <w:p w14:paraId="4CB74C22">
            <w:pPr>
              <w:pStyle w:val="style0"/>
              <w:spacing w:lineRule="auto" w:line="420"/>
              <w:jc w:val="center"/>
              <w:rPr>
                <w:rFonts w:ascii="RobotoStatic" w:cs="Zawgyi-One" w:hAnsi="Source Sans Pro"/>
              </w:rPr>
            </w:pPr>
            <w:r>
              <w:rPr>
                <w:rFonts w:ascii="RobotoStatic" w:cs="Zawgyi-One" w:hAnsi="Source Sans Pro"/>
                <w:b/>
                <w:bCs/>
                <w:sz w:val="18"/>
                <w:szCs w:val="18"/>
              </w:rPr>
              <w:t>Risk Created</w:t>
            </w:r>
          </w:p>
        </w:tc>
        <w:tc>
          <w:tcPr>
            <w:tcW w:w="1150" w:type="dxa"/>
            <w:tcBorders/>
            <w:shd w:val="clear" w:color="auto" w:fill="auto"/>
            <w:tcMar>
              <w:top w:w="80" w:type="dxa"/>
              <w:left w:w="100" w:type="dxa"/>
              <w:bottom w:w="80" w:type="dxa"/>
              <w:right w:w="100" w:type="dxa"/>
            </w:tcMar>
            <w:vAlign w:val="center"/>
          </w:tcPr>
          <w:p w14:paraId="B005E525">
            <w:pPr>
              <w:pStyle w:val="style0"/>
              <w:spacing w:lineRule="auto" w:line="420"/>
              <w:jc w:val="center"/>
              <w:rPr>
                <w:rFonts w:ascii="RobotoStatic" w:cs="Zawgyi-One" w:hAnsi="Source Sans Pro"/>
              </w:rPr>
            </w:pPr>
            <w:r>
              <w:rPr>
                <w:rFonts w:ascii="RobotoStatic" w:cs="Zawgyi-One" w:hAnsi="Source Sans Pro"/>
                <w:b/>
                <w:bCs/>
                <w:sz w:val="18"/>
                <w:szCs w:val="18"/>
              </w:rPr>
              <w:t>Roles Involved</w:t>
            </w:r>
          </w:p>
        </w:tc>
        <w:tc>
          <w:tcPr>
            <w:tcW w:w="2100" w:type="dxa"/>
            <w:tcBorders/>
            <w:shd w:val="clear" w:color="auto" w:fill="auto"/>
            <w:tcMar>
              <w:top w:w="80" w:type="dxa"/>
              <w:left w:w="100" w:type="dxa"/>
              <w:bottom w:w="80" w:type="dxa"/>
              <w:right w:w="100" w:type="dxa"/>
            </w:tcMar>
            <w:vAlign w:val="center"/>
          </w:tcPr>
          <w:p w14:paraId="2EA2618E">
            <w:pPr>
              <w:pStyle w:val="style0"/>
              <w:spacing w:lineRule="auto" w:line="420"/>
              <w:jc w:val="center"/>
              <w:rPr>
                <w:rFonts w:ascii="RobotoStatic" w:cs="Zawgyi-One" w:hAnsi="Source Sans Pro"/>
              </w:rPr>
            </w:pPr>
            <w:r>
              <w:rPr>
                <w:rFonts w:ascii="RobotoStatic" w:cs="Zawgyi-One" w:hAnsi="Source Sans Pro"/>
                <w:b/>
                <w:bCs/>
                <w:sz w:val="18"/>
                <w:szCs w:val="18"/>
              </w:rPr>
              <w:t>Recommended Control</w:t>
            </w:r>
          </w:p>
        </w:tc>
        <w:tc>
          <w:tcPr>
            <w:tcW w:w="1160" w:type="dxa"/>
            <w:tcBorders/>
            <w:shd w:val="clear" w:color="auto" w:fill="auto"/>
            <w:tcMar>
              <w:top w:w="80" w:type="dxa"/>
              <w:left w:w="100" w:type="dxa"/>
              <w:bottom w:w="80" w:type="dxa"/>
              <w:right w:w="100" w:type="dxa"/>
            </w:tcMar>
            <w:vAlign w:val="center"/>
          </w:tcPr>
          <w:p w14:paraId="DF644E11">
            <w:pPr>
              <w:pStyle w:val="style0"/>
              <w:spacing w:lineRule="auto" w:line="420"/>
              <w:jc w:val="center"/>
              <w:rPr>
                <w:rFonts w:ascii="RobotoStatic" w:cs="Zawgyi-One" w:hAnsi="Source Sans Pro"/>
              </w:rPr>
            </w:pPr>
            <w:r>
              <w:rPr>
                <w:rFonts w:ascii="RobotoStatic" w:cs="Zawgyi-One" w:hAnsi="Source Sans Pro"/>
                <w:b/>
                <w:bCs/>
                <w:sz w:val="18"/>
                <w:szCs w:val="18"/>
              </w:rPr>
              <w:t>Residual Risk / Review</w:t>
            </w:r>
          </w:p>
        </w:tc>
      </w:tr>
      <w:tr w14:paraId="EB0469BD">
        <w:tblPrEx/>
        <w:trPr/>
        <w:tc>
          <w:tcPr>
            <w:tcW w:w="400" w:type="dxa"/>
            <w:tcBorders/>
            <w:shd w:val="clear" w:color="auto" w:fill="auto"/>
            <w:tcMar>
              <w:top w:w="80" w:type="dxa"/>
              <w:left w:w="100" w:type="dxa"/>
              <w:bottom w:w="80" w:type="dxa"/>
              <w:right w:w="100" w:type="dxa"/>
            </w:tcMar>
            <w:vAlign w:val="center"/>
          </w:tcPr>
          <w:p w14:paraId="F264AC02">
            <w:pPr>
              <w:pStyle w:val="style0"/>
              <w:spacing w:lineRule="auto" w:line="420"/>
              <w:rPr>
                <w:rFonts w:ascii="RobotoStatic" w:cs="Zawgyi-One" w:hAnsi="Source Sans Pro"/>
              </w:rPr>
            </w:pPr>
            <w:r>
              <w:rPr>
                <w:rFonts w:ascii="RobotoStatic" w:cs="Zawgyi-One" w:hAnsi="Source Sans Pro"/>
                <w:sz w:val="18"/>
                <w:szCs w:val="18"/>
              </w:rPr>
              <w:t>1</w:t>
            </w:r>
          </w:p>
        </w:tc>
        <w:tc>
          <w:tcPr>
            <w:tcW w:w="1350" w:type="dxa"/>
            <w:tcBorders/>
            <w:shd w:val="clear" w:color="auto" w:fill="auto"/>
            <w:tcMar>
              <w:top w:w="80" w:type="dxa"/>
              <w:left w:w="100" w:type="dxa"/>
              <w:bottom w:w="80" w:type="dxa"/>
              <w:right w:w="100" w:type="dxa"/>
            </w:tcMar>
            <w:vAlign w:val="center"/>
          </w:tcPr>
          <w:p w14:paraId="D723E495">
            <w:pPr>
              <w:pStyle w:val="style0"/>
              <w:spacing w:lineRule="auto" w:line="420"/>
              <w:rPr>
                <w:rFonts w:ascii="RobotoStatic" w:cs="Zawgyi-One" w:hAnsi="Source Sans Pro"/>
              </w:rPr>
            </w:pPr>
            <w:r>
              <w:rPr>
                <w:rFonts w:ascii="RobotoStatic" w:cs="Zawgyi-One" w:hAnsi="Source Sans Pro"/>
                <w:sz w:val="18"/>
                <w:szCs w:val="18"/>
              </w:rPr>
              <w:t>Access management</w:t>
            </w:r>
          </w:p>
        </w:tc>
        <w:tc>
          <w:tcPr>
            <w:tcW w:w="2150" w:type="dxa"/>
            <w:tcBorders/>
            <w:shd w:val="clear" w:color="auto" w:fill="auto"/>
            <w:tcMar>
              <w:top w:w="80" w:type="dxa"/>
              <w:left w:w="100" w:type="dxa"/>
              <w:bottom w:w="80" w:type="dxa"/>
              <w:right w:w="100" w:type="dxa"/>
            </w:tcMar>
            <w:vAlign w:val="center"/>
          </w:tcPr>
          <w:p w14:paraId="F0F2A664">
            <w:pPr>
              <w:pStyle w:val="style0"/>
              <w:spacing w:lineRule="auto" w:line="420"/>
              <w:rPr>
                <w:rFonts w:ascii="RobotoStatic" w:cs="Zawgyi-One" w:hAnsi="Source Sans Pro"/>
              </w:rPr>
            </w:pPr>
            <w:r>
              <w:rPr>
                <w:rFonts w:ascii="RobotoStatic" w:cs="Zawgyi-One" w:hAnsi="Source Sans Pro"/>
                <w:sz w:val="18"/>
                <w:szCs w:val="18"/>
              </w:rPr>
              <w:t>IT Director's team both provisions access and certifies/approves that access is appropriate, with no independent reviewer.</w:t>
            </w:r>
          </w:p>
        </w:tc>
        <w:tc>
          <w:tcPr>
            <w:tcW w:w="1650" w:type="dxa"/>
            <w:tcBorders/>
            <w:shd w:val="clear" w:color="auto" w:fill="auto"/>
            <w:tcMar>
              <w:top w:w="80" w:type="dxa"/>
              <w:left w:w="100" w:type="dxa"/>
              <w:bottom w:w="80" w:type="dxa"/>
              <w:right w:w="100" w:type="dxa"/>
            </w:tcMar>
            <w:vAlign w:val="center"/>
          </w:tcPr>
          <w:p w14:paraId="40F0DC32">
            <w:pPr>
              <w:pStyle w:val="style0"/>
              <w:spacing w:lineRule="auto" w:line="420"/>
              <w:rPr>
                <w:rFonts w:ascii="RobotoStatic" w:cs="Zawgyi-One" w:hAnsi="Source Sans Pro"/>
              </w:rPr>
            </w:pPr>
            <w:r>
              <w:rPr>
                <w:rFonts w:ascii="RobotoStatic" w:cs="Zawgyi-One" w:hAnsi="Source Sans Pro"/>
                <w:sz w:val="18"/>
                <w:szCs w:val="18"/>
              </w:rPr>
              <w:t>Unauthorised or excessive access goes undetected; access creep over time.</w:t>
            </w:r>
          </w:p>
        </w:tc>
        <w:tc>
          <w:tcPr>
            <w:tcW w:w="1150" w:type="dxa"/>
            <w:tcBorders/>
            <w:shd w:val="clear" w:color="auto" w:fill="auto"/>
            <w:tcMar>
              <w:top w:w="80" w:type="dxa"/>
              <w:left w:w="100" w:type="dxa"/>
              <w:bottom w:w="80" w:type="dxa"/>
              <w:right w:w="100" w:type="dxa"/>
            </w:tcMar>
            <w:vAlign w:val="center"/>
          </w:tcPr>
          <w:p w14:paraId="4DD81A2B">
            <w:pPr>
              <w:pStyle w:val="style0"/>
              <w:spacing w:lineRule="auto" w:line="420"/>
              <w:rPr>
                <w:rFonts w:ascii="RobotoStatic" w:cs="Zawgyi-One" w:hAnsi="Source Sans Pro"/>
              </w:rPr>
            </w:pPr>
            <w:r>
              <w:rPr>
                <w:rFonts w:ascii="RobotoStatic" w:cs="Zawgyi-One" w:hAnsi="Source Sans Pro"/>
                <w:sz w:val="18"/>
                <w:szCs w:val="18"/>
              </w:rPr>
              <w:t>IT Director, IT Operations</w:t>
            </w:r>
          </w:p>
        </w:tc>
        <w:tc>
          <w:tcPr>
            <w:tcW w:w="2100" w:type="dxa"/>
            <w:tcBorders/>
            <w:shd w:val="clear" w:color="auto" w:fill="auto"/>
            <w:tcMar>
              <w:top w:w="80" w:type="dxa"/>
              <w:left w:w="100" w:type="dxa"/>
              <w:bottom w:w="80" w:type="dxa"/>
              <w:right w:w="100" w:type="dxa"/>
            </w:tcMar>
            <w:vAlign w:val="center"/>
          </w:tcPr>
          <w:p w14:paraId="2FEA3AE7">
            <w:pPr>
              <w:pStyle w:val="style0"/>
              <w:spacing w:lineRule="auto" w:line="420"/>
              <w:rPr>
                <w:rFonts w:ascii="RobotoStatic" w:cs="Zawgyi-One" w:hAnsi="Source Sans Pro"/>
              </w:rPr>
            </w:pPr>
            <w:r>
              <w:rPr>
                <w:rFonts w:ascii="RobotoStatic" w:cs="Zawgyi-One" w:hAnsi="Source Sans Pro"/>
                <w:sz w:val="18"/>
                <w:szCs w:val="18"/>
              </w:rPr>
              <w:t xml:space="preserve">Quarterly access recertification performed by the CISO's team or Internal Audit, independent of the provisioning team; IAM workflow enforces approver </w:t>
            </w:r>
            <w:r>
              <w:rPr>
                <w:rFonts w:ascii="RobotoStatic" w:cs="Calibri" w:hAnsi="Calibri"/>
                <w:sz w:val="18"/>
                <w:szCs w:val="18"/>
              </w:rPr>
              <w:t>≠</w:t>
            </w:r>
            <w:r>
              <w:rPr>
                <w:rFonts w:ascii="RobotoStatic" w:cs="Zawgyi-One" w:hAnsi="Source Sans Pro"/>
                <w:sz w:val="18"/>
                <w:szCs w:val="18"/>
              </w:rPr>
              <w:t xml:space="preserve"> requester.</w:t>
            </w:r>
          </w:p>
        </w:tc>
        <w:tc>
          <w:tcPr>
            <w:tcW w:w="1160" w:type="dxa"/>
            <w:tcBorders/>
            <w:shd w:val="clear" w:color="auto" w:fill="auto"/>
            <w:tcMar>
              <w:top w:w="80" w:type="dxa"/>
              <w:left w:w="100" w:type="dxa"/>
              <w:bottom w:w="80" w:type="dxa"/>
              <w:right w:w="100" w:type="dxa"/>
            </w:tcMar>
            <w:vAlign w:val="center"/>
          </w:tcPr>
          <w:p w14:paraId="5797864A">
            <w:pPr>
              <w:pStyle w:val="style0"/>
              <w:spacing w:lineRule="auto" w:line="420"/>
              <w:rPr>
                <w:rFonts w:ascii="RobotoStatic" w:cs="Zawgyi-One" w:hAnsi="Source Sans Pro"/>
              </w:rPr>
            </w:pPr>
            <w:r>
              <w:rPr>
                <w:rFonts w:ascii="RobotoStatic" w:cs="Zawgyi-One" w:hAnsi="Source Sans Pro"/>
                <w:sz w:val="18"/>
                <w:szCs w:val="18"/>
              </w:rPr>
              <w:t>Low; reviewed at each quarterly recertification cycle.</w:t>
            </w:r>
          </w:p>
        </w:tc>
      </w:tr>
      <w:tr w14:paraId="245BD841">
        <w:tblPrEx/>
        <w:trPr/>
        <w:tc>
          <w:tcPr>
            <w:tcW w:w="400" w:type="dxa"/>
            <w:tcBorders/>
            <w:shd w:val="clear" w:color="auto" w:fill="auto"/>
            <w:tcMar>
              <w:top w:w="80" w:type="dxa"/>
              <w:left w:w="100" w:type="dxa"/>
              <w:bottom w:w="80" w:type="dxa"/>
              <w:right w:w="100" w:type="dxa"/>
            </w:tcMar>
            <w:vAlign w:val="center"/>
          </w:tcPr>
          <w:p w14:paraId="3EB0B007">
            <w:pPr>
              <w:pStyle w:val="style0"/>
              <w:spacing w:lineRule="auto" w:line="420"/>
              <w:rPr>
                <w:rFonts w:ascii="RobotoStatic" w:cs="Zawgyi-One" w:hAnsi="Source Sans Pro"/>
              </w:rPr>
            </w:pPr>
            <w:r>
              <w:rPr>
                <w:rFonts w:ascii="RobotoStatic" w:cs="Zawgyi-One" w:hAnsi="Source Sans Pro"/>
                <w:sz w:val="18"/>
                <w:szCs w:val="18"/>
              </w:rPr>
              <w:t>2</w:t>
            </w:r>
          </w:p>
        </w:tc>
        <w:tc>
          <w:tcPr>
            <w:tcW w:w="1350" w:type="dxa"/>
            <w:tcBorders/>
            <w:shd w:val="clear" w:color="auto" w:fill="auto"/>
            <w:tcMar>
              <w:top w:w="80" w:type="dxa"/>
              <w:left w:w="100" w:type="dxa"/>
              <w:bottom w:w="80" w:type="dxa"/>
              <w:right w:w="100" w:type="dxa"/>
            </w:tcMar>
            <w:vAlign w:val="center"/>
          </w:tcPr>
          <w:p w14:paraId="B9EB2DE4">
            <w:pPr>
              <w:pStyle w:val="style0"/>
              <w:spacing w:lineRule="auto" w:line="420"/>
              <w:rPr>
                <w:rFonts w:ascii="RobotoStatic" w:cs="Zawgyi-One" w:hAnsi="Source Sans Pro"/>
              </w:rPr>
            </w:pPr>
            <w:r>
              <w:rPr>
                <w:rFonts w:ascii="RobotoStatic" w:cs="Zawgyi-One" w:hAnsi="Source Sans Pro"/>
                <w:sz w:val="18"/>
                <w:szCs w:val="18"/>
              </w:rPr>
              <w:t>Security architecture / change</w:t>
            </w:r>
          </w:p>
        </w:tc>
        <w:tc>
          <w:tcPr>
            <w:tcW w:w="2150" w:type="dxa"/>
            <w:tcBorders/>
            <w:shd w:val="clear" w:color="auto" w:fill="auto"/>
            <w:tcMar>
              <w:top w:w="80" w:type="dxa"/>
              <w:left w:w="100" w:type="dxa"/>
              <w:bottom w:w="80" w:type="dxa"/>
              <w:right w:w="100" w:type="dxa"/>
            </w:tcMar>
            <w:vAlign w:val="center"/>
          </w:tcPr>
          <w:p w14:paraId="906F6B92">
            <w:pPr>
              <w:pStyle w:val="style0"/>
              <w:spacing w:lineRule="auto" w:line="420"/>
              <w:rPr>
                <w:rFonts w:ascii="RobotoStatic" w:cs="Zawgyi-One" w:hAnsi="Source Sans Pro"/>
              </w:rPr>
            </w:pPr>
            <w:r>
              <w:rPr>
                <w:rFonts w:ascii="RobotoStatic" w:cs="Zawgyi-One" w:hAnsi="Source Sans Pro"/>
                <w:sz w:val="18"/>
                <w:szCs w:val="18"/>
              </w:rPr>
              <w:t>The same IT team designs, implements and approves its own security architecture changes.</w:t>
            </w:r>
          </w:p>
        </w:tc>
        <w:tc>
          <w:tcPr>
            <w:tcW w:w="1650" w:type="dxa"/>
            <w:tcBorders/>
            <w:shd w:val="clear" w:color="auto" w:fill="auto"/>
            <w:tcMar>
              <w:top w:w="80" w:type="dxa"/>
              <w:left w:w="100" w:type="dxa"/>
              <w:bottom w:w="80" w:type="dxa"/>
              <w:right w:w="100" w:type="dxa"/>
            </w:tcMar>
            <w:vAlign w:val="center"/>
          </w:tcPr>
          <w:p w14:paraId="F32E28C0">
            <w:pPr>
              <w:pStyle w:val="style0"/>
              <w:spacing w:lineRule="auto" w:line="420"/>
              <w:rPr>
                <w:rFonts w:ascii="RobotoStatic" w:cs="Zawgyi-One" w:hAnsi="Source Sans Pro"/>
              </w:rPr>
            </w:pPr>
            <w:r>
              <w:rPr>
                <w:rFonts w:ascii="RobotoStatic" w:cs="Zawgyi-One" w:hAnsi="Source Sans Pro"/>
                <w:sz w:val="18"/>
                <w:szCs w:val="18"/>
              </w:rPr>
              <w:t>Insecure or non-compliant changes reach production without independent risk review.</w:t>
            </w:r>
          </w:p>
        </w:tc>
        <w:tc>
          <w:tcPr>
            <w:tcW w:w="1150" w:type="dxa"/>
            <w:tcBorders/>
            <w:shd w:val="clear" w:color="auto" w:fill="auto"/>
            <w:tcMar>
              <w:top w:w="80" w:type="dxa"/>
              <w:left w:w="100" w:type="dxa"/>
              <w:bottom w:w="80" w:type="dxa"/>
              <w:right w:w="100" w:type="dxa"/>
            </w:tcMar>
            <w:vAlign w:val="center"/>
          </w:tcPr>
          <w:p w14:paraId="292CBA29">
            <w:pPr>
              <w:pStyle w:val="style0"/>
              <w:spacing w:lineRule="auto" w:line="420"/>
              <w:rPr>
                <w:rFonts w:ascii="RobotoStatic" w:cs="Zawgyi-One" w:hAnsi="Source Sans Pro"/>
              </w:rPr>
            </w:pPr>
            <w:r>
              <w:rPr>
                <w:rFonts w:ascii="RobotoStatic" w:cs="Zawgyi-One" w:hAnsi="Source Sans Pro"/>
                <w:sz w:val="18"/>
                <w:szCs w:val="18"/>
              </w:rPr>
              <w:t>IT Director, IT Engineering</w:t>
            </w:r>
          </w:p>
        </w:tc>
        <w:tc>
          <w:tcPr>
            <w:tcW w:w="2100" w:type="dxa"/>
            <w:tcBorders/>
            <w:shd w:val="clear" w:color="auto" w:fill="auto"/>
            <w:tcMar>
              <w:top w:w="80" w:type="dxa"/>
              <w:left w:w="100" w:type="dxa"/>
              <w:bottom w:w="80" w:type="dxa"/>
              <w:right w:w="100" w:type="dxa"/>
            </w:tcMar>
            <w:vAlign w:val="center"/>
          </w:tcPr>
          <w:p w14:paraId="C09F4AD6">
            <w:pPr>
              <w:pStyle w:val="style0"/>
              <w:spacing w:lineRule="auto" w:line="420"/>
              <w:rPr>
                <w:rFonts w:ascii="RobotoStatic" w:cs="Zawgyi-One" w:hAnsi="Source Sans Pro"/>
              </w:rPr>
            </w:pPr>
            <w:r>
              <w:rPr>
                <w:rFonts w:ascii="RobotoStatic" w:cs="Zawgyi-One" w:hAnsi="Source Sans Pro"/>
                <w:sz w:val="18"/>
                <w:szCs w:val="18"/>
              </w:rPr>
              <w:t>CISO or a Change/Architecture Review Board sign-off required before any security-relevant production change; reviewers excluded from the implementing team.</w:t>
            </w:r>
          </w:p>
        </w:tc>
        <w:tc>
          <w:tcPr>
            <w:tcW w:w="1160" w:type="dxa"/>
            <w:tcBorders/>
            <w:shd w:val="clear" w:color="auto" w:fill="auto"/>
            <w:tcMar>
              <w:top w:w="80" w:type="dxa"/>
              <w:left w:w="100" w:type="dxa"/>
              <w:bottom w:w="80" w:type="dxa"/>
              <w:right w:w="100" w:type="dxa"/>
            </w:tcMar>
            <w:vAlign w:val="center"/>
          </w:tcPr>
          <w:p w14:paraId="FCEAF5B3">
            <w:pPr>
              <w:pStyle w:val="style0"/>
              <w:spacing w:lineRule="auto" w:line="420"/>
              <w:rPr>
                <w:rFonts w:ascii="RobotoStatic" w:cs="Zawgyi-One" w:hAnsi="Source Sans Pro"/>
              </w:rPr>
            </w:pPr>
            <w:r>
              <w:rPr>
                <w:rFonts w:ascii="RobotoStatic" w:cs="Zawgyi-One" w:hAnsi="Source Sans Pro"/>
                <w:sz w:val="18"/>
                <w:szCs w:val="18"/>
              </w:rPr>
              <w:t>Low-medium; reviewed annually or after any change-related incident.</w:t>
            </w:r>
          </w:p>
        </w:tc>
      </w:tr>
      <w:tr w14:paraId="97F63F55">
        <w:tblPrEx/>
        <w:trPr/>
        <w:tc>
          <w:tcPr>
            <w:tcW w:w="400" w:type="dxa"/>
            <w:tcBorders/>
            <w:shd w:val="clear" w:color="auto" w:fill="auto"/>
            <w:tcMar>
              <w:top w:w="80" w:type="dxa"/>
              <w:left w:w="100" w:type="dxa"/>
              <w:bottom w:w="80" w:type="dxa"/>
              <w:right w:w="100" w:type="dxa"/>
            </w:tcMar>
            <w:vAlign w:val="center"/>
          </w:tcPr>
          <w:p w14:paraId="1D701156">
            <w:pPr>
              <w:pStyle w:val="style0"/>
              <w:spacing w:lineRule="auto" w:line="420"/>
              <w:rPr>
                <w:rFonts w:ascii="RobotoStatic" w:cs="Zawgyi-One" w:hAnsi="Source Sans Pro"/>
              </w:rPr>
            </w:pPr>
            <w:r>
              <w:rPr>
                <w:rFonts w:ascii="RobotoStatic" w:cs="Zawgyi-One" w:hAnsi="Source Sans Pro"/>
                <w:sz w:val="18"/>
                <w:szCs w:val="18"/>
              </w:rPr>
              <w:t>3</w:t>
            </w:r>
          </w:p>
        </w:tc>
        <w:tc>
          <w:tcPr>
            <w:tcW w:w="1350" w:type="dxa"/>
            <w:tcBorders/>
            <w:shd w:val="clear" w:color="auto" w:fill="auto"/>
            <w:tcMar>
              <w:top w:w="80" w:type="dxa"/>
              <w:left w:w="100" w:type="dxa"/>
              <w:bottom w:w="80" w:type="dxa"/>
              <w:right w:w="100" w:type="dxa"/>
            </w:tcMar>
            <w:vAlign w:val="center"/>
          </w:tcPr>
          <w:p w14:paraId="4ED87F89">
            <w:pPr>
              <w:pStyle w:val="style0"/>
              <w:spacing w:lineRule="auto" w:line="420"/>
              <w:rPr>
                <w:rFonts w:ascii="RobotoStatic" w:cs="Zawgyi-One" w:hAnsi="Source Sans Pro"/>
              </w:rPr>
            </w:pPr>
            <w:r>
              <w:rPr>
                <w:rFonts w:ascii="RobotoStatic" w:cs="Zawgyi-One" w:hAnsi="Source Sans Pro"/>
                <w:sz w:val="18"/>
                <w:szCs w:val="18"/>
              </w:rPr>
              <w:t>Risk acceptance</w:t>
            </w:r>
          </w:p>
        </w:tc>
        <w:tc>
          <w:tcPr>
            <w:tcW w:w="2150" w:type="dxa"/>
            <w:tcBorders/>
            <w:shd w:val="clear" w:color="auto" w:fill="auto"/>
            <w:tcMar>
              <w:top w:w="80" w:type="dxa"/>
              <w:left w:w="100" w:type="dxa"/>
              <w:bottom w:w="80" w:type="dxa"/>
              <w:right w:w="100" w:type="dxa"/>
            </w:tcMar>
            <w:vAlign w:val="center"/>
          </w:tcPr>
          <w:p w14:paraId="B2488F34">
            <w:pPr>
              <w:pStyle w:val="style0"/>
              <w:spacing w:lineRule="auto" w:line="420"/>
              <w:rPr>
                <w:rFonts w:ascii="RobotoStatic" w:cs="Zawgyi-One" w:hAnsi="Source Sans Pro"/>
              </w:rPr>
            </w:pPr>
            <w:r>
              <w:rPr>
                <w:rFonts w:ascii="RobotoStatic" w:cs="Zawgyi-One" w:hAnsi="Source Sans Pro"/>
                <w:sz w:val="18"/>
                <w:szCs w:val="18"/>
              </w:rPr>
              <w:t>The IT Director currently accepts residual risk on operations that the IT Director also runs.</w:t>
            </w:r>
          </w:p>
        </w:tc>
        <w:tc>
          <w:tcPr>
            <w:tcW w:w="1650" w:type="dxa"/>
            <w:tcBorders/>
            <w:shd w:val="clear" w:color="auto" w:fill="auto"/>
            <w:tcMar>
              <w:top w:w="80" w:type="dxa"/>
              <w:left w:w="100" w:type="dxa"/>
              <w:bottom w:w="80" w:type="dxa"/>
              <w:right w:w="100" w:type="dxa"/>
            </w:tcMar>
            <w:vAlign w:val="center"/>
          </w:tcPr>
          <w:p w14:paraId="B0A1370A">
            <w:pPr>
              <w:pStyle w:val="style0"/>
              <w:spacing w:lineRule="auto" w:line="420"/>
              <w:rPr>
                <w:rFonts w:ascii="RobotoStatic" w:cs="Zawgyi-One" w:hAnsi="Source Sans Pro"/>
              </w:rPr>
            </w:pPr>
            <w:r>
              <w:rPr>
                <w:rFonts w:ascii="RobotoStatic" w:cs="Zawgyi-One" w:hAnsi="Source Sans Pro"/>
                <w:sz w:val="18"/>
                <w:szCs w:val="18"/>
              </w:rPr>
              <w:t>Conflict of interest; risk understated to avoid highlighting gaps in one's own area.</w:t>
            </w:r>
          </w:p>
        </w:tc>
        <w:tc>
          <w:tcPr>
            <w:tcW w:w="1150" w:type="dxa"/>
            <w:tcBorders/>
            <w:shd w:val="clear" w:color="auto" w:fill="auto"/>
            <w:tcMar>
              <w:top w:w="80" w:type="dxa"/>
              <w:left w:w="100" w:type="dxa"/>
              <w:bottom w:w="80" w:type="dxa"/>
              <w:right w:w="100" w:type="dxa"/>
            </w:tcMar>
            <w:vAlign w:val="center"/>
          </w:tcPr>
          <w:p w14:paraId="434FBC12">
            <w:pPr>
              <w:pStyle w:val="style0"/>
              <w:spacing w:lineRule="auto" w:line="420"/>
              <w:rPr>
                <w:rFonts w:ascii="RobotoStatic" w:cs="Zawgyi-One" w:hAnsi="Source Sans Pro"/>
              </w:rPr>
            </w:pPr>
            <w:r>
              <w:rPr>
                <w:rFonts w:ascii="RobotoStatic" w:cs="Zawgyi-One" w:hAnsi="Source Sans Pro"/>
                <w:sz w:val="18"/>
                <w:szCs w:val="18"/>
              </w:rPr>
              <w:t>IT Director</w:t>
            </w:r>
          </w:p>
        </w:tc>
        <w:tc>
          <w:tcPr>
            <w:tcW w:w="2100" w:type="dxa"/>
            <w:tcBorders/>
            <w:shd w:val="clear" w:color="auto" w:fill="auto"/>
            <w:tcMar>
              <w:top w:w="80" w:type="dxa"/>
              <w:left w:w="100" w:type="dxa"/>
              <w:bottom w:w="80" w:type="dxa"/>
              <w:right w:w="100" w:type="dxa"/>
            </w:tcMar>
            <w:vAlign w:val="center"/>
          </w:tcPr>
          <w:p w14:paraId="0614671C">
            <w:pPr>
              <w:pStyle w:val="style0"/>
              <w:spacing w:lineRule="auto" w:line="420"/>
              <w:rPr>
                <w:rFonts w:ascii="RobotoStatic" w:cs="Zawgyi-One" w:hAnsi="Source Sans Pro"/>
              </w:rPr>
            </w:pPr>
            <w:r>
              <w:rPr>
                <w:rFonts w:ascii="RobotoStatic" w:cs="Zawgyi-One" w:hAnsi="Source Sans Pro"/>
                <w:sz w:val="18"/>
                <w:szCs w:val="18"/>
              </w:rPr>
              <w:t>Formal risk-acceptance authority transferred to the CRO (or Executive Security Council for material risk) per the Task 4 RACI matrix; IT provides technical input only, not the acceptance decision.</w:t>
            </w:r>
          </w:p>
        </w:tc>
        <w:tc>
          <w:tcPr>
            <w:tcW w:w="1160" w:type="dxa"/>
            <w:tcBorders/>
            <w:shd w:val="clear" w:color="auto" w:fill="auto"/>
            <w:tcMar>
              <w:top w:w="80" w:type="dxa"/>
              <w:left w:w="100" w:type="dxa"/>
              <w:bottom w:w="80" w:type="dxa"/>
              <w:right w:w="100" w:type="dxa"/>
            </w:tcMar>
            <w:vAlign w:val="center"/>
          </w:tcPr>
          <w:p w14:paraId="9F50A0D0">
            <w:pPr>
              <w:pStyle w:val="style0"/>
              <w:spacing w:lineRule="auto" w:line="420"/>
              <w:rPr>
                <w:rFonts w:ascii="RobotoStatic" w:cs="Zawgyi-One" w:hAnsi="Source Sans Pro"/>
              </w:rPr>
            </w:pPr>
            <w:r>
              <w:rPr>
                <w:rFonts w:ascii="RobotoStatic" w:cs="Zawgyi-One" w:hAnsi="Source Sans Pro"/>
                <w:sz w:val="18"/>
                <w:szCs w:val="18"/>
              </w:rPr>
              <w:t>Low; reviewed at each risk-register cycle.</w:t>
            </w:r>
          </w:p>
        </w:tc>
      </w:tr>
      <w:tr w14:paraId="6FE770B1">
        <w:tblPrEx/>
        <w:trPr/>
        <w:tc>
          <w:tcPr>
            <w:tcW w:w="400" w:type="dxa"/>
            <w:tcBorders/>
            <w:shd w:val="clear" w:color="auto" w:fill="auto"/>
            <w:tcMar>
              <w:top w:w="80" w:type="dxa"/>
              <w:left w:w="100" w:type="dxa"/>
              <w:bottom w:w="80" w:type="dxa"/>
              <w:right w:w="100" w:type="dxa"/>
            </w:tcMar>
            <w:vAlign w:val="center"/>
          </w:tcPr>
          <w:p w14:paraId="1C6FFB2B">
            <w:pPr>
              <w:pStyle w:val="style0"/>
              <w:spacing w:lineRule="auto" w:line="420"/>
              <w:rPr>
                <w:rFonts w:ascii="RobotoStatic" w:cs="Zawgyi-One" w:hAnsi="Source Sans Pro"/>
              </w:rPr>
            </w:pPr>
            <w:r>
              <w:rPr>
                <w:rFonts w:ascii="RobotoStatic" w:cs="Zawgyi-One" w:hAnsi="Source Sans Pro"/>
                <w:sz w:val="18"/>
                <w:szCs w:val="18"/>
              </w:rPr>
              <w:t>4</w:t>
            </w:r>
          </w:p>
        </w:tc>
        <w:tc>
          <w:tcPr>
            <w:tcW w:w="1350" w:type="dxa"/>
            <w:tcBorders/>
            <w:shd w:val="clear" w:color="auto" w:fill="auto"/>
            <w:tcMar>
              <w:top w:w="80" w:type="dxa"/>
              <w:left w:w="100" w:type="dxa"/>
              <w:bottom w:w="80" w:type="dxa"/>
              <w:right w:w="100" w:type="dxa"/>
            </w:tcMar>
            <w:vAlign w:val="center"/>
          </w:tcPr>
          <w:p w14:paraId="4497D882">
            <w:pPr>
              <w:pStyle w:val="style0"/>
              <w:spacing w:lineRule="auto" w:line="420"/>
              <w:rPr>
                <w:rFonts w:ascii="RobotoStatic" w:cs="Zawgyi-One" w:hAnsi="Source Sans Pro"/>
              </w:rPr>
            </w:pPr>
            <w:r>
              <w:rPr>
                <w:rFonts w:ascii="RobotoStatic" w:cs="Zawgyi-One" w:hAnsi="Source Sans Pro"/>
                <w:sz w:val="18"/>
                <w:szCs w:val="18"/>
              </w:rPr>
              <w:t>Incident response</w:t>
            </w:r>
          </w:p>
        </w:tc>
        <w:tc>
          <w:tcPr>
            <w:tcW w:w="2150" w:type="dxa"/>
            <w:tcBorders/>
            <w:shd w:val="clear" w:color="auto" w:fill="auto"/>
            <w:tcMar>
              <w:top w:w="80" w:type="dxa"/>
              <w:left w:w="100" w:type="dxa"/>
              <w:bottom w:w="80" w:type="dxa"/>
              <w:right w:w="100" w:type="dxa"/>
            </w:tcMar>
            <w:vAlign w:val="center"/>
          </w:tcPr>
          <w:p w14:paraId="D3380E08">
            <w:pPr>
              <w:pStyle w:val="style0"/>
              <w:spacing w:lineRule="auto" w:line="420"/>
              <w:rPr>
                <w:rFonts w:ascii="RobotoStatic" w:cs="Zawgyi-One" w:hAnsi="Source Sans Pro"/>
              </w:rPr>
            </w:pPr>
            <w:r>
              <w:rPr>
                <w:rFonts w:ascii="RobotoStatic" w:cs="Zawgyi-One" w:hAnsi="Source Sans Pro"/>
                <w:sz w:val="18"/>
                <w:szCs w:val="18"/>
              </w:rPr>
              <w:t>The IT team detects, investigates and closes its own incidents with no independent validation.</w:t>
            </w:r>
          </w:p>
        </w:tc>
        <w:tc>
          <w:tcPr>
            <w:tcW w:w="1650" w:type="dxa"/>
            <w:tcBorders/>
            <w:shd w:val="clear" w:color="auto" w:fill="auto"/>
            <w:tcMar>
              <w:top w:w="80" w:type="dxa"/>
              <w:left w:w="100" w:type="dxa"/>
              <w:bottom w:w="80" w:type="dxa"/>
              <w:right w:w="100" w:type="dxa"/>
            </w:tcMar>
            <w:vAlign w:val="center"/>
          </w:tcPr>
          <w:p w14:paraId="5427FF61">
            <w:pPr>
              <w:pStyle w:val="style0"/>
              <w:spacing w:lineRule="auto" w:line="420"/>
              <w:rPr>
                <w:rFonts w:ascii="RobotoStatic" w:cs="Zawgyi-One" w:hAnsi="Source Sans Pro"/>
              </w:rPr>
            </w:pPr>
            <w:r>
              <w:rPr>
                <w:rFonts w:ascii="RobotoStatic" w:cs="Zawgyi-One" w:hAnsi="Source Sans Pro"/>
                <w:sz w:val="18"/>
                <w:szCs w:val="18"/>
              </w:rPr>
              <w:t>Under-reporting, incomplete investigation, missed regulatory notification.</w:t>
            </w:r>
          </w:p>
        </w:tc>
        <w:tc>
          <w:tcPr>
            <w:tcW w:w="1150" w:type="dxa"/>
            <w:tcBorders/>
            <w:shd w:val="clear" w:color="auto" w:fill="auto"/>
            <w:tcMar>
              <w:top w:w="80" w:type="dxa"/>
              <w:left w:w="100" w:type="dxa"/>
              <w:bottom w:w="80" w:type="dxa"/>
              <w:right w:w="100" w:type="dxa"/>
            </w:tcMar>
            <w:vAlign w:val="center"/>
          </w:tcPr>
          <w:p w14:paraId="FF71D42A">
            <w:pPr>
              <w:pStyle w:val="style0"/>
              <w:spacing w:lineRule="auto" w:line="420"/>
              <w:rPr>
                <w:rFonts w:ascii="RobotoStatic" w:cs="Zawgyi-One" w:hAnsi="Source Sans Pro"/>
              </w:rPr>
            </w:pPr>
            <w:r>
              <w:rPr>
                <w:rFonts w:ascii="RobotoStatic" w:cs="Zawgyi-One" w:hAnsi="Source Sans Pro"/>
                <w:sz w:val="18"/>
                <w:szCs w:val="18"/>
              </w:rPr>
              <w:t>IT Director, IT Operations</w:t>
            </w:r>
          </w:p>
        </w:tc>
        <w:tc>
          <w:tcPr>
            <w:tcW w:w="2100" w:type="dxa"/>
            <w:tcBorders/>
            <w:shd w:val="clear" w:color="auto" w:fill="auto"/>
            <w:tcMar>
              <w:top w:w="80" w:type="dxa"/>
              <w:left w:w="100" w:type="dxa"/>
              <w:bottom w:w="80" w:type="dxa"/>
              <w:right w:w="100" w:type="dxa"/>
            </w:tcMar>
            <w:vAlign w:val="center"/>
          </w:tcPr>
          <w:p w14:paraId="178E2FF2">
            <w:pPr>
              <w:pStyle w:val="style0"/>
              <w:spacing w:lineRule="auto" w:line="420"/>
              <w:rPr>
                <w:rFonts w:ascii="RobotoStatic" w:cs="Zawgyi-One" w:hAnsi="Source Sans Pro"/>
              </w:rPr>
            </w:pPr>
            <w:r>
              <w:rPr>
                <w:rFonts w:ascii="RobotoStatic" w:cs="Zawgyi-One" w:hAnsi="Source Sans Pro"/>
                <w:sz w:val="18"/>
                <w:szCs w:val="18"/>
              </w:rPr>
              <w:t>Mandatory CISO sign-off before an incident can be closed; Legal review for regulatory-notification relevance; Internal Audit samples closed incidents periodically.</w:t>
            </w:r>
          </w:p>
        </w:tc>
        <w:tc>
          <w:tcPr>
            <w:tcW w:w="1160" w:type="dxa"/>
            <w:tcBorders/>
            <w:shd w:val="clear" w:color="auto" w:fill="auto"/>
            <w:tcMar>
              <w:top w:w="80" w:type="dxa"/>
              <w:left w:w="100" w:type="dxa"/>
              <w:bottom w:w="80" w:type="dxa"/>
              <w:right w:w="100" w:type="dxa"/>
            </w:tcMar>
            <w:vAlign w:val="center"/>
          </w:tcPr>
          <w:p w14:paraId="822C7136">
            <w:pPr>
              <w:pStyle w:val="style0"/>
              <w:spacing w:lineRule="auto" w:line="420"/>
              <w:rPr>
                <w:rFonts w:ascii="RobotoStatic" w:cs="Zawgyi-One" w:hAnsi="Source Sans Pro"/>
              </w:rPr>
            </w:pPr>
            <w:r>
              <w:rPr>
                <w:rFonts w:ascii="RobotoStatic" w:cs="Zawgyi-One" w:hAnsi="Source Sans Pro"/>
                <w:sz w:val="18"/>
                <w:szCs w:val="18"/>
              </w:rPr>
              <w:t>Low-medium; reviewed at each Steering Committee cycle.</w:t>
            </w:r>
          </w:p>
        </w:tc>
      </w:tr>
      <w:tr w14:paraId="B0A4444E">
        <w:tblPrEx/>
        <w:trPr/>
        <w:tc>
          <w:tcPr>
            <w:tcW w:w="400" w:type="dxa"/>
            <w:tcBorders/>
            <w:shd w:val="clear" w:color="auto" w:fill="auto"/>
            <w:tcMar>
              <w:top w:w="80" w:type="dxa"/>
              <w:left w:w="100" w:type="dxa"/>
              <w:bottom w:w="80" w:type="dxa"/>
              <w:right w:w="100" w:type="dxa"/>
            </w:tcMar>
            <w:vAlign w:val="center"/>
          </w:tcPr>
          <w:p w14:paraId="D91CC81A">
            <w:pPr>
              <w:pStyle w:val="style0"/>
              <w:spacing w:lineRule="auto" w:line="420"/>
              <w:rPr>
                <w:rFonts w:ascii="RobotoStatic" w:cs="Zawgyi-One" w:hAnsi="Source Sans Pro"/>
              </w:rPr>
            </w:pPr>
            <w:r>
              <w:rPr>
                <w:rFonts w:ascii="RobotoStatic" w:cs="Zawgyi-One" w:hAnsi="Source Sans Pro"/>
                <w:sz w:val="18"/>
                <w:szCs w:val="18"/>
              </w:rPr>
              <w:t>5</w:t>
            </w:r>
          </w:p>
        </w:tc>
        <w:tc>
          <w:tcPr>
            <w:tcW w:w="1350" w:type="dxa"/>
            <w:tcBorders/>
            <w:shd w:val="clear" w:color="auto" w:fill="auto"/>
            <w:tcMar>
              <w:top w:w="80" w:type="dxa"/>
              <w:left w:w="100" w:type="dxa"/>
              <w:bottom w:w="80" w:type="dxa"/>
              <w:right w:w="100" w:type="dxa"/>
            </w:tcMar>
            <w:vAlign w:val="center"/>
          </w:tcPr>
          <w:p w14:paraId="4AB8E2C3">
            <w:pPr>
              <w:pStyle w:val="style0"/>
              <w:spacing w:lineRule="auto" w:line="420"/>
              <w:rPr>
                <w:rFonts w:ascii="RobotoStatic" w:cs="Zawgyi-One" w:hAnsi="Source Sans Pro"/>
              </w:rPr>
            </w:pPr>
            <w:r>
              <w:rPr>
                <w:rFonts w:ascii="RobotoStatic" w:cs="Zawgyi-One" w:hAnsi="Source Sans Pro"/>
                <w:sz w:val="18"/>
                <w:szCs w:val="18"/>
              </w:rPr>
              <w:t>Third-party / vendor risk</w:t>
            </w:r>
          </w:p>
        </w:tc>
        <w:tc>
          <w:tcPr>
            <w:tcW w:w="2150" w:type="dxa"/>
            <w:tcBorders/>
            <w:shd w:val="clear" w:color="auto" w:fill="auto"/>
            <w:tcMar>
              <w:top w:w="80" w:type="dxa"/>
              <w:left w:w="100" w:type="dxa"/>
              <w:bottom w:w="80" w:type="dxa"/>
              <w:right w:w="100" w:type="dxa"/>
            </w:tcMar>
            <w:vAlign w:val="center"/>
          </w:tcPr>
          <w:p w14:paraId="BE0D0451">
            <w:pPr>
              <w:pStyle w:val="style0"/>
              <w:spacing w:lineRule="auto" w:line="420"/>
              <w:rPr>
                <w:rFonts w:ascii="RobotoStatic" w:cs="Zawgyi-One" w:hAnsi="Source Sans Pro"/>
              </w:rPr>
            </w:pPr>
            <w:r>
              <w:rPr>
                <w:rFonts w:ascii="RobotoStatic" w:cs="Zawgyi-One" w:hAnsi="Source Sans Pro"/>
                <w:sz w:val="18"/>
                <w:szCs w:val="18"/>
              </w:rPr>
              <w:t>Business units select vendors and self-assess third-party security risk with no central review.</w:t>
            </w:r>
          </w:p>
        </w:tc>
        <w:tc>
          <w:tcPr>
            <w:tcW w:w="1650" w:type="dxa"/>
            <w:tcBorders/>
            <w:shd w:val="clear" w:color="auto" w:fill="auto"/>
            <w:tcMar>
              <w:top w:w="80" w:type="dxa"/>
              <w:left w:w="100" w:type="dxa"/>
              <w:bottom w:w="80" w:type="dxa"/>
              <w:right w:w="100" w:type="dxa"/>
            </w:tcMar>
            <w:vAlign w:val="center"/>
          </w:tcPr>
          <w:p w14:paraId="EDDD386D">
            <w:pPr>
              <w:pStyle w:val="style0"/>
              <w:spacing w:lineRule="auto" w:line="420"/>
              <w:rPr>
                <w:rFonts w:ascii="RobotoStatic" w:cs="Zawgyi-One" w:hAnsi="Source Sans Pro"/>
              </w:rPr>
            </w:pPr>
            <w:r>
              <w:rPr>
                <w:rFonts w:ascii="RobotoStatic" w:cs="Zawgyi-One" w:hAnsi="Source Sans Pro"/>
                <w:sz w:val="18"/>
                <w:szCs w:val="18"/>
              </w:rPr>
              <w:t>Inconsistent due diligence; high-risk vendors onboarded without visibility to the CISO.</w:t>
            </w:r>
          </w:p>
        </w:tc>
        <w:tc>
          <w:tcPr>
            <w:tcW w:w="1150" w:type="dxa"/>
            <w:tcBorders/>
            <w:shd w:val="clear" w:color="auto" w:fill="auto"/>
            <w:tcMar>
              <w:top w:w="80" w:type="dxa"/>
              <w:left w:w="100" w:type="dxa"/>
              <w:bottom w:w="80" w:type="dxa"/>
              <w:right w:w="100" w:type="dxa"/>
            </w:tcMar>
            <w:vAlign w:val="center"/>
          </w:tcPr>
          <w:p w14:paraId="219B8B8F">
            <w:pPr>
              <w:pStyle w:val="style0"/>
              <w:spacing w:lineRule="auto" w:line="420"/>
              <w:rPr>
                <w:rFonts w:ascii="RobotoStatic" w:cs="Zawgyi-One" w:hAnsi="Source Sans Pro"/>
              </w:rPr>
            </w:pPr>
            <w:r>
              <w:rPr>
                <w:rFonts w:ascii="RobotoStatic" w:cs="Zawgyi-One" w:hAnsi="Source Sans Pro"/>
                <w:sz w:val="18"/>
                <w:szCs w:val="18"/>
              </w:rPr>
              <w:t>Business Unit Leaders, Procurement</w:t>
            </w:r>
          </w:p>
        </w:tc>
        <w:tc>
          <w:tcPr>
            <w:tcW w:w="2100" w:type="dxa"/>
            <w:tcBorders/>
            <w:shd w:val="clear" w:color="auto" w:fill="auto"/>
            <w:tcMar>
              <w:top w:w="80" w:type="dxa"/>
              <w:left w:w="100" w:type="dxa"/>
              <w:bottom w:w="80" w:type="dxa"/>
              <w:right w:w="100" w:type="dxa"/>
            </w:tcMar>
            <w:vAlign w:val="center"/>
          </w:tcPr>
          <w:p w14:paraId="5A64C6D7">
            <w:pPr>
              <w:pStyle w:val="style0"/>
              <w:spacing w:lineRule="auto" w:line="420"/>
              <w:rPr>
                <w:rFonts w:ascii="RobotoStatic" w:cs="Zawgyi-One" w:hAnsi="Source Sans Pro"/>
              </w:rPr>
            </w:pPr>
            <w:r>
              <w:rPr>
                <w:rFonts w:ascii="RobotoStatic" w:cs="Zawgyi-One" w:hAnsi="Source Sans Pro"/>
                <w:sz w:val="18"/>
                <w:szCs w:val="18"/>
              </w:rPr>
              <w:t>Centralised third-party risk register owned by the CISO and Procurement; mandatory security review completed before contract signature, independent of the requesting business unit.</w:t>
            </w:r>
          </w:p>
        </w:tc>
        <w:tc>
          <w:tcPr>
            <w:tcW w:w="1160" w:type="dxa"/>
            <w:tcBorders/>
            <w:shd w:val="clear" w:color="auto" w:fill="auto"/>
            <w:tcMar>
              <w:top w:w="80" w:type="dxa"/>
              <w:left w:w="100" w:type="dxa"/>
              <w:bottom w:w="80" w:type="dxa"/>
              <w:right w:w="100" w:type="dxa"/>
            </w:tcMar>
            <w:vAlign w:val="center"/>
          </w:tcPr>
          <w:p w14:paraId="B1F7EB50">
            <w:pPr>
              <w:pStyle w:val="style0"/>
              <w:spacing w:lineRule="auto" w:line="420"/>
              <w:rPr>
                <w:rFonts w:ascii="RobotoStatic" w:cs="Zawgyi-One" w:hAnsi="Source Sans Pro"/>
              </w:rPr>
            </w:pPr>
            <w:r>
              <w:rPr>
                <w:rFonts w:ascii="RobotoStatic" w:cs="Zawgyi-One" w:hAnsi="Source Sans Pro"/>
                <w:sz w:val="18"/>
                <w:szCs w:val="18"/>
              </w:rPr>
              <w:t>Medium initially, reducing to low as the register matures; reviewed annually.</w:t>
            </w:r>
          </w:p>
        </w:tc>
      </w:tr>
      <w:bookmarkEnd w:id="0"/>
    </w:tbl>
    <w:p w14:paraId="27BF3931">
      <w:pPr>
        <w:pStyle w:val="style2"/>
        <w:spacing w:before="280" w:after="140" w:lineRule="auto" w:line="420"/>
        <w:rPr>
          <w:rFonts w:ascii="RobotoStatic" w:cs="Zawgyi-One" w:hAnsi="Source Sans Pro"/>
          <w:color w:val="auto"/>
        </w:rPr>
      </w:pPr>
      <w:r>
        <w:rPr>
          <w:rFonts w:ascii="RobotoStatic" w:cs="Zawgyi-One" w:hAnsi="Source Sans Pro"/>
          <w:b/>
          <w:bCs/>
          <w:color w:val="auto"/>
          <w:sz w:val="24"/>
          <w:szCs w:val="24"/>
        </w:rPr>
        <w:t>5.4 Decision-Recording and Assurance Note</w:t>
      </w:r>
    </w:p>
    <w:p w14:paraId="98C4D105">
      <w:pPr>
        <w:pStyle w:val="style0"/>
        <w:spacing w:after="160" w:lineRule="auto" w:line="420"/>
        <w:rPr>
          <w:rFonts w:ascii="RobotoStatic" w:cs="Zawgyi-One" w:hAnsi="Source Sans Pro"/>
        </w:rPr>
      </w:pPr>
      <w:r>
        <w:rPr>
          <w:rFonts w:ascii="RobotoStatic" w:cs="Zawgyi-One" w:hAnsi="Source Sans Pro"/>
          <w:sz w:val="21"/>
          <w:szCs w:val="21"/>
        </w:rPr>
        <w:t xml:space="preserve">Every decision made under the escalation workflow </w:t>
      </w:r>
      <w:r>
        <w:rPr>
          <w:rFonts w:ascii="RobotoStatic" w:cs="Calibri" w:hAnsi="Carrois Gothic SC"/>
          <w:sz w:val="21"/>
          <w:szCs w:val="21"/>
        </w:rPr>
        <w:t>—</w:t>
      </w:r>
      <w:r>
        <w:rPr>
          <w:rFonts w:ascii="RobotoStatic" w:cs="Zawgyi-One" w:hAnsi="Source Sans Pro"/>
          <w:sz w:val="21"/>
          <w:szCs w:val="21"/>
        </w:rPr>
        <w:t xml:space="preserve"> at any of the three levels </w:t>
      </w:r>
      <w:r>
        <w:rPr>
          <w:rFonts w:ascii="RobotoStatic" w:cs="Calibri" w:hAnsi="Carrois Gothic SC"/>
          <w:sz w:val="21"/>
          <w:szCs w:val="21"/>
        </w:rPr>
        <w:t>—</w:t>
      </w:r>
      <w:r>
        <w:rPr>
          <w:rFonts w:ascii="RobotoStatic" w:cs="Zawgyi-One" w:hAnsi="Source Sans Pro"/>
          <w:sz w:val="21"/>
          <w:szCs w:val="21"/>
        </w:rPr>
        <w:t xml:space="preserve"> is captured in the governance decision log illustrated in Task 3, Section 3.7, using the same fields: date, decision/issue, decision owner, decision, rationale, actions and owner, and review date. This ensures a single, consistent record regardless of which committee or executive made the call.</w:t>
      </w:r>
    </w:p>
    <w:p w14:paraId="1F40263D">
      <w:pPr>
        <w:pStyle w:val="style179"/>
        <w:numPr>
          <w:ilvl w:val="0"/>
          <w:numId w:val="1"/>
        </w:numPr>
        <w:spacing w:after="80" w:lineRule="auto" w:line="420"/>
        <w:rPr>
          <w:rFonts w:ascii="RobotoStatic" w:cs="Zawgyi-One" w:hAnsi="Source Sans Pro"/>
        </w:rPr>
      </w:pPr>
      <w:r>
        <w:rPr>
          <w:rFonts w:ascii="RobotoStatic" w:cs="Zawgyi-One" w:hAnsi="Source Sans Pro"/>
          <w:sz w:val="21"/>
          <w:szCs w:val="21"/>
        </w:rPr>
        <w:t>Recording: the Governance Committee Secretariat enters the decision log entry at the time the decision is made, not reconstructed afterward, and links it to the underlying incident or risk-register entry in TechGlobal's GRC tooling.</w:t>
      </w:r>
    </w:p>
    <w:p w14:paraId="612B851F">
      <w:pPr>
        <w:pStyle w:val="style179"/>
        <w:numPr>
          <w:ilvl w:val="0"/>
          <w:numId w:val="1"/>
        </w:numPr>
        <w:spacing w:after="80" w:lineRule="auto" w:line="420"/>
        <w:rPr>
          <w:rFonts w:ascii="RobotoStatic" w:cs="Zawgyi-One" w:hAnsi="Source Sans Pro"/>
        </w:rPr>
      </w:pPr>
      <w:r>
        <w:rPr>
          <w:rFonts w:ascii="RobotoStatic" w:cs="Zawgyi-One" w:hAnsi="Source Sans Pro"/>
          <w:sz w:val="21"/>
          <w:szCs w:val="21"/>
        </w:rPr>
        <w:t>Tracking: each entry carries a named action owner and a review date; open actions are reviewed at the next Steering Committee meeting and reported by exception if overdue.</w:t>
      </w:r>
    </w:p>
    <w:p w14:paraId="05458AE3">
      <w:pPr>
        <w:pStyle w:val="style179"/>
        <w:numPr>
          <w:ilvl w:val="0"/>
          <w:numId w:val="1"/>
        </w:numPr>
        <w:spacing w:after="80" w:lineRule="auto" w:line="420"/>
        <w:rPr>
          <w:rFonts w:ascii="RobotoStatic" w:cs="Zawgyi-One" w:hAnsi="Source Sans Pro"/>
        </w:rPr>
      </w:pPr>
      <w:r>
        <w:rPr>
          <w:rFonts w:ascii="RobotoStatic" w:cs="Zawgyi-One" w:hAnsi="Source Sans Pro"/>
          <w:sz w:val="21"/>
          <w:szCs w:val="21"/>
        </w:rPr>
        <w:t>Review: Internal Audit samples a proportion of closed decisions each quarter as part of its third-line assurance role (Task 1, Section 1.4), checking that the accountable role matches the RACI matrix and that supporting rationale is documented.</w:t>
      </w:r>
    </w:p>
    <w:p w14:paraId="744FF2E9">
      <w:pPr>
        <w:pStyle w:val="style179"/>
        <w:numPr>
          <w:ilvl w:val="0"/>
          <w:numId w:val="1"/>
        </w:numPr>
        <w:spacing w:after="80" w:lineRule="auto" w:line="420"/>
        <w:rPr>
          <w:rFonts w:ascii="RobotoStatic" w:cs="Zawgyi-One" w:hAnsi="Source Sans Pro"/>
        </w:rPr>
      </w:pPr>
      <w:r>
        <w:rPr>
          <w:rFonts w:ascii="RobotoStatic" w:cs="Zawgyi-One" w:hAnsi="Source Sans Pro"/>
          <w:sz w:val="21"/>
          <w:szCs w:val="21"/>
        </w:rPr>
        <w:t>Closure: a decision is only marked closed once the named actions are verified complete; Level 2 and Level 3 decisions additionally require sign-off from the CISO (Level 2) or CEO/Board Risk &amp; Audit Committee (Level 3) before closure.</w:t>
      </w:r>
    </w:p>
    <w:p w14:paraId="A245CD7D">
      <w:pPr>
        <w:pStyle w:val="style2"/>
        <w:spacing w:before="280" w:after="140" w:lineRule="auto" w:line="420"/>
        <w:rPr>
          <w:rFonts w:ascii="RobotoStatic" w:cs="Zawgyi-One" w:hAnsi="Source Sans Pro"/>
          <w:color w:val="auto"/>
        </w:rPr>
      </w:pPr>
      <w:r>
        <w:rPr>
          <w:rFonts w:ascii="RobotoStatic" w:cs="Zawgyi-One" w:hAnsi="Source Sans Pro"/>
          <w:color w:val="auto"/>
          <w:lang w:val="en-US"/>
        </w:rPr>
        <w:t xml:space="preserve">AI usage declaration </w:t>
      </w:r>
    </w:p>
    <w:p w14:paraId="A2395032">
      <w:pPr>
        <w:pStyle w:val="style0"/>
        <w:spacing w:after="160" w:lineRule="auto" w:line="420"/>
        <w:rPr>
          <w:rFonts w:ascii="RobotoStatic" w:cs="Zawgyi-One" w:hAnsi="Source Sans Pro"/>
        </w:rPr>
      </w:pPr>
      <w:r>
        <w:rPr>
          <w:rFonts w:ascii="RobotoStatic" w:cs="Zawgyi-One" w:hAnsi="Source Sans Pro"/>
          <w:sz w:val="21"/>
          <w:szCs w:val="21"/>
        </w:rPr>
        <w:t>This report was prepared with the support of an AI assistant for research support, formatting, diagram generation and language refinement, in line with the laboratory's Academic Integrity and Responsible AI Use policy.</w:t>
      </w:r>
    </w:p>
    <w:sectPr>
      <w:headerReference w:type="default" r:id="rId5"/>
      <w:footerReference w:type="default" r:id="rId6"/>
      <w:pgSz w:w="12240" w:h="15840" w:orient="portrait"/>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altName w:val="Calibri"/>
    <w:panose1 w:val="020f0502020002030204"/>
    <w:charset w:val="00"/>
    <w:family w:val="swiss"/>
    <w:pitch w:val="variable"/>
    <w:sig w:usb0="E4002EFF" w:usb1="C000247B" w:usb2="00000009" w:usb3="00000000" w:csb0="000001FF" w:csb1="00000000"/>
  </w:font>
  <w:font w:name="Times New Roman">
    <w:altName w:val="Times New Roman"/>
    <w:panose1 w:val="02020603050004020304"/>
    <w:charset w:val="00"/>
    <w:family w:val="roman"/>
    <w:pitch w:val="variable"/>
    <w:sig w:usb0="E0002EFF" w:usb1="C000785B" w:usb2="00000009" w:usb3="00000000" w:csb0="000001FF" w:csb1="00000000"/>
  </w:font>
  <w:font w:name="Calibri Light">
    <w:altName w:val="Calibri Light"/>
    <w:panose1 w:val="020f0302020002030204"/>
    <w:charset w:val="00"/>
    <w:family w:val="swiss"/>
    <w:pitch w:val="variable"/>
    <w:sig w:usb0="E4002EFF" w:usb1="C000247B" w:usb2="00000009" w:usb3="00000000" w:csb0="000001FF" w:csb1="00000000"/>
  </w:font>
  <w:font w:name="Arial">
    <w:altName w:val="Arial"/>
    <w:panose1 w:val="020b0604020002020204"/>
    <w:charset w:val="00"/>
    <w:family w:val="swiss"/>
    <w:pitch w:val="variable"/>
    <w:sig w:usb0="E0002EFF" w:usb1="C000785B" w:usb2="00000009" w:usb3="00000000" w:csb0="000001FF" w:csb1="00000000"/>
  </w:font>
  <w:font w:name="AndroidClock">
    <w:altName w:val="Times New Roman"/>
    <w:panose1 w:val="02020603050005020304"/>
    <w:charset w:val="00"/>
    <w:family w:val="roman"/>
    <w:pitch w:val="variable"/>
    <w:sig w:usb0="20007A87" w:usb1="80000000" w:usb2="00000008" w:usb3="00000000" w:csb0="000001FF" w:csb1="00000000"/>
  </w:font>
  <w:font w:name="Carrois Gothic SC">
    <w:altName w:val="Times New Roman"/>
    <w:panose1 w:val="02020603050005020304"/>
    <w:charset w:val="00"/>
    <w:family w:val="roman"/>
    <w:pitch w:val="variable"/>
    <w:sig w:usb0="20007A87" w:usb1="80000000" w:usb2="00000008" w:usb3="00000000" w:csb0="000001FF" w:csb1="00000000"/>
  </w:font>
  <w:font w:name="Coming Soon">
    <w:altName w:val="Times New Roman"/>
    <w:panose1 w:val="02020603050005020304"/>
    <w:charset w:val="00"/>
    <w:family w:val="roman"/>
    <w:pitch w:val="variable"/>
    <w:sig w:usb0="20007A87" w:usb1="80000000" w:usb2="00000008" w:usb3="00000000" w:csb0="000001FF" w:csb1="00000000"/>
  </w:font>
  <w:font w:name="Cutive Mono">
    <w:altName w:val="Times New Roman"/>
    <w:panose1 w:val="02020603050005020304"/>
    <w:charset w:val="00"/>
    <w:family w:val="roman"/>
    <w:pitch w:val="variable"/>
    <w:sig w:usb0="20007A87" w:usb1="80000000" w:usb2="00000008" w:usb3="00000000" w:csb0="000001FF" w:csb1="00000000"/>
  </w:font>
  <w:font w:name="Zawgyi-One">
    <w:altName w:val="Times New Roman"/>
    <w:panose1 w:val="02020603050005020304"/>
    <w:charset w:val="00"/>
    <w:family w:val="roman"/>
    <w:pitch w:val="variable"/>
    <w:sig w:usb0="20007A87" w:usb1="80000000" w:usb2="00000008" w:usb3="00000000" w:csb0="000001FF" w:csb1="00000000"/>
  </w:font>
  <w:font w:name="Source Sans Pro SemiBold">
    <w:altName w:val="Times New Roman"/>
    <w:panose1 w:val="02020603050005020304"/>
    <w:charset w:val="00"/>
    <w:family w:val="roman"/>
    <w:pitch w:val="variable"/>
    <w:sig w:usb0="20007A87" w:usb1="80000000" w:usb2="00000008" w:usb3="00000000" w:csb0="000001FF" w:csb1="00000000"/>
  </w:font>
  <w:font w:name="Source Sans Pro">
    <w:altName w:val="Times New Roman"/>
    <w:panose1 w:val="02020603050005020304"/>
    <w:charset w:val="00"/>
    <w:family w:val="roman"/>
    <w:pitch w:val="variable"/>
    <w:sig w:usb0="20007A87" w:usb1="80000000" w:usb2="00000008" w:usb3="00000000" w:csb0="000001FF" w:csb1="00000000"/>
  </w:font>
  <w:font w:name="RobotoStatic">
    <w:altName w:val="Times New Roman"/>
    <w:panose1 w:val="02020603050005020304"/>
    <w:charset w:val="00"/>
    <w:family w:val="roman"/>
    <w:pitch w:val="variable"/>
    <w:sig w:usb0="20007A87" w:usb1="80000000" w:usb2="00000008" w:usb3="00000000" w:csb0="000001FF" w:csb1="00000000"/>
  </w:font>
</w:fonts>
</file>

<file path=word/footer2.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F11C06FC">
    <w:pPr>
      <w:pStyle w:val="style0"/>
      <w:jc w:val="left"/>
      <w:rPr/>
    </w:pPr>
  </w:p>
</w:ftr>
</file>

<file path=word/header1.xml><?xml version="1.0" encoding="utf-8"?>
<w:hd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A5C99B58">
    <w:pPr>
      <w:pStyle w:val="style0"/>
      <w:pBdr>
        <w:bottom w:val="single" w:sz="4" w:space="4" w:color="b9c4ce"/>
      </w:pBdr>
      <w:jc w:val="left"/>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package/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0000"/>
    <w:multiLevelType w:val="hybridMultilevel"/>
    <w:tmpl w:val="E118E2B2"/>
    <w:lvl w:ilvl="0" w:tplc="6F268F16">
      <w:start w:val="1"/>
      <w:numFmt w:val="bullet"/>
      <w:lvlText w:val="●"/>
      <w:lvlJc w:val="left"/>
      <w:pPr>
        <w:ind w:left="720" w:hanging="360"/>
      </w:pPr>
    </w:lvl>
    <w:lvl w:ilvl="1" w:tplc="E22E8614">
      <w:start w:val="1"/>
      <w:numFmt w:val="bullet"/>
      <w:lvlText w:val="○"/>
      <w:lvlJc w:val="left"/>
      <w:pPr>
        <w:ind w:left="1440" w:hanging="360"/>
      </w:pPr>
    </w:lvl>
    <w:lvl w:ilvl="2" w:tplc="239696CA">
      <w:start w:val="1"/>
      <w:numFmt w:val="bullet"/>
      <w:lvlText w:val="■"/>
      <w:lvlJc w:val="left"/>
      <w:pPr>
        <w:ind w:left="2160" w:hanging="360"/>
      </w:pPr>
    </w:lvl>
    <w:lvl w:ilvl="3" w:tplc="29060F26">
      <w:start w:val="1"/>
      <w:numFmt w:val="bullet"/>
      <w:lvlText w:val="●"/>
      <w:lvlJc w:val="left"/>
      <w:pPr>
        <w:ind w:left="2880" w:hanging="360"/>
      </w:pPr>
    </w:lvl>
    <w:lvl w:ilvl="4" w:tplc="64103434">
      <w:start w:val="1"/>
      <w:numFmt w:val="bullet"/>
      <w:lvlText w:val="○"/>
      <w:lvlJc w:val="left"/>
      <w:pPr>
        <w:ind w:left="3600" w:hanging="360"/>
      </w:pPr>
    </w:lvl>
    <w:lvl w:ilvl="5" w:tplc="084A6FF4">
      <w:start w:val="1"/>
      <w:numFmt w:val="bullet"/>
      <w:lvlText w:val="■"/>
      <w:lvlJc w:val="left"/>
      <w:pPr>
        <w:ind w:left="4320" w:hanging="360"/>
      </w:pPr>
    </w:lvl>
    <w:lvl w:ilvl="6" w:tplc="78D2A912">
      <w:start w:val="1"/>
      <w:numFmt w:val="bullet"/>
      <w:lvlText w:val="●"/>
      <w:lvlJc w:val="left"/>
      <w:pPr>
        <w:ind w:left="5040" w:hanging="360"/>
      </w:pPr>
    </w:lvl>
    <w:lvl w:ilvl="7" w:tplc="897A7110">
      <w:start w:val="1"/>
      <w:numFmt w:val="bullet"/>
      <w:lvlText w:val="●"/>
      <w:lvlJc w:val="left"/>
      <w:pPr>
        <w:ind w:left="5760" w:hanging="360"/>
      </w:pPr>
    </w:lvl>
    <w:lvl w:ilvl="8" w:tplc="DDB041B2">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w="http://schemas.openxmlformats.org/wordprocessingml/2006/main" xmlns:r="http://schemas.openxmlformats.org/officeDocument/2006/relationships" xmlns:m="http://schemas.openxmlformats.org/officeDocument/2006/math">
  <w:zoom w:percent="100"/>
  <w:displayBackgroundShape/>
  <w:stylePaneFormatFilter w:val="5024" w:allStyles="0" w:customStyles="0" w:latentStyles="1" w:stylesInUse="0" w:headingStyles="1" w:numberingStyles="0" w:tableStyles="0" w:directFormattingOnRuns="0" w:directFormattingOnParagraphs="0" w:directFormattingOnNumbering="0" w:directFormattingOnTables="0" w:clearFormatting="1" w:top3HeadingStyles="0" w:visibleStyles="1" w:alternateStyleNames="0"/>
  <w:stylePaneSortMethod w:val="0001"/>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libri" w:cs="Calibri" w:eastAsia="Calibri" w:hAnsi="Calibri"/>
        <w:lang w:val="en-US" w:bidi="ar-SA" w:eastAsia="en-US"/>
      </w:rPr>
    </w:rPrDefault>
    <w:pPrDefault>
      <w:pPr/>
    </w:pPrDefault>
  </w:docDefaults>
  <w:style w:type="paragraph" w:default="1" w:styleId="style0">
    <w:name w:val="Normal"/>
    <w:next w:val="style0"/>
    <w:qFormat/>
    <w:pPr/>
  </w:style>
  <w:style w:type="paragraph" w:styleId="style1">
    <w:name w:val="heading 1"/>
    <w:next w:val="style1"/>
    <w:qFormat/>
    <w:pPr>
      <w:outlineLvl w:val="0"/>
    </w:pPr>
    <w:rPr>
      <w:color w:val="2e74b5"/>
      <w:sz w:val="32"/>
      <w:szCs w:val="32"/>
    </w:rPr>
  </w:style>
  <w:style w:type="paragraph" w:styleId="style2">
    <w:name w:val="heading 2"/>
    <w:next w:val="style2"/>
    <w:qFormat/>
    <w:pPr>
      <w:outlineLvl w:val="1"/>
    </w:pPr>
    <w:rPr>
      <w:color w:val="2e74b5"/>
      <w:sz w:val="26"/>
      <w:szCs w:val="26"/>
    </w:rPr>
  </w:style>
  <w:style w:type="paragraph" w:styleId="style3">
    <w:name w:val="heading 3"/>
    <w:next w:val="style3"/>
    <w:qFormat/>
    <w:pPr>
      <w:outlineLvl w:val="2"/>
    </w:pPr>
    <w:rPr>
      <w:color w:val="1f4d78"/>
      <w:sz w:val="24"/>
      <w:szCs w:val="24"/>
    </w:rPr>
  </w:style>
  <w:style w:type="paragraph" w:styleId="style4">
    <w:name w:val="heading 4"/>
    <w:next w:val="style4"/>
    <w:qFormat/>
    <w:pPr>
      <w:outlineLvl w:val="3"/>
    </w:pPr>
    <w:rPr>
      <w:i/>
      <w:iCs/>
      <w:color w:val="2e74b5"/>
    </w:rPr>
  </w:style>
  <w:style w:type="paragraph" w:styleId="style5">
    <w:name w:val="heading 5"/>
    <w:next w:val="style5"/>
    <w:qFormat/>
    <w:pPr>
      <w:outlineLvl w:val="4"/>
    </w:pPr>
    <w:rPr>
      <w:color w:val="2e74b5"/>
    </w:rPr>
  </w:style>
  <w:style w:type="paragraph" w:styleId="style6">
    <w:name w:val="heading 6"/>
    <w:next w:val="style6"/>
    <w:qFormat/>
    <w:pPr>
      <w:outlineLvl w:val="5"/>
    </w:pPr>
    <w:rPr>
      <w:color w:val="1f4d78"/>
    </w:rPr>
  </w:style>
  <w:style w:type="character" w:default="1" w:styleId="style65">
    <w:name w:val="Default Paragraph Font"/>
    <w:next w:val="style65"/>
    <w:uiPriority w:val="1"/>
  </w:style>
  <w:style w:type="table" w:default="1" w:styleId="style105">
    <w:name w:val="Normal Table"/>
    <w:next w:val="style105"/>
    <w:uiPriority w:val="99"/>
    <w:pPr/>
    <w:rPr/>
    <w:tblPr>
      <w:tblInd w:w="0" w:type="dxa"/>
      <w:tblCellMar>
        <w:top w:w="0" w:type="dxa"/>
        <w:left w:w="108" w:type="dxa"/>
        <w:bottom w:w="0" w:type="dxa"/>
        <w:right w:w="108" w:type="dxa"/>
      </w:tblCellMar>
    </w:tblPr>
    <w:tcPr>
      <w:tcBorders/>
    </w:tcPr>
  </w:style>
  <w:style w:type="numbering" w:default="1" w:styleId="style107">
    <w:name w:val="No List"/>
    <w:next w:val="style107"/>
    <w:uiPriority w:val="99"/>
    <w:pPr/>
  </w:style>
  <w:style w:type="paragraph" w:styleId="style62">
    <w:name w:val="Title"/>
    <w:next w:val="style62"/>
    <w:qFormat/>
    <w:pPr/>
    <w:rPr>
      <w:sz w:val="56"/>
      <w:szCs w:val="56"/>
    </w:rPr>
  </w:style>
  <w:style w:type="paragraph" w:customStyle="1" w:styleId="style4097">
    <w:name w:val="Strong1"/>
    <w:next w:val="style4097"/>
    <w:qFormat/>
    <w:pPr/>
    <w:rPr>
      <w:b/>
      <w:bCs/>
    </w:rPr>
  </w:style>
  <w:style w:type="paragraph" w:styleId="style179">
    <w:name w:val="List Paragraph"/>
    <w:next w:val="style179"/>
    <w:qFormat/>
    <w:pPr/>
  </w:style>
  <w:style w:type="character" w:styleId="style85">
    <w:name w:val="Hyperlink"/>
    <w:next w:val="style85"/>
    <w:uiPriority w:val="99"/>
    <w:rPr>
      <w:color w:val="0563c1"/>
      <w:u w:val="single"/>
    </w:rPr>
  </w:style>
  <w:style w:type="character" w:styleId="style38">
    <w:name w:val="footnote reference"/>
    <w:next w:val="style38"/>
    <w:uiPriority w:val="99"/>
    <w:rPr>
      <w:vertAlign w:val="superscript"/>
    </w:rPr>
  </w:style>
  <w:style w:type="paragraph" w:styleId="style29">
    <w:name w:val="footnote text"/>
    <w:next w:val="style29"/>
    <w:link w:val="style4098"/>
    <w:uiPriority w:val="99"/>
    <w:pPr/>
  </w:style>
  <w:style w:type="character" w:customStyle="1" w:styleId="style4098">
    <w:name w:val="Footnote Text Char"/>
    <w:next w:val="style4098"/>
    <w:link w:val="style29"/>
    <w:uiPriority w:val="99"/>
    <w:rPr>
      <w:sz w:val="20"/>
      <w:szCs w:val="20"/>
    </w:rPr>
  </w:style>
  <w:style w:type="character" w:styleId="style42">
    <w:name w:val="endnote reference"/>
    <w:next w:val="style42"/>
    <w:uiPriority w:val="99"/>
    <w:rPr>
      <w:vertAlign w:val="superscript"/>
    </w:rPr>
  </w:style>
  <w:style w:type="paragraph" w:styleId="style43">
    <w:name w:val="endnote text"/>
    <w:next w:val="style43"/>
    <w:link w:val="style4099"/>
    <w:uiPriority w:val="99"/>
    <w:pPr/>
  </w:style>
  <w:style w:type="character" w:customStyle="1" w:styleId="style4099">
    <w:name w:val="Endnote Text Char"/>
    <w:next w:val="style4099"/>
    <w:link w:val="style43"/>
    <w:uiPriority w:val="99"/>
    <w:rPr>
      <w:sz w:val="20"/>
      <w:szCs w:val="20"/>
    </w:rPr>
  </w:style>
</w:styles>
</file>

<file path=word/_rels/document.xml.rels><?xml version="1.0" encoding="UTF-8"?>
<Relationships xmlns="http://schemas.openxmlformats.org/package/2006/relationships"><Relationship Id="rId1" Type="http://schemas.openxmlformats.org/officeDocument/2006/relationships/numbering" Target="numbering.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10" Type="http://schemas.openxmlformats.org/officeDocument/2006/relationships/theme" Target="theme/theme1.xml"/><Relationship Id="rId9" Type="http://schemas.openxmlformats.org/officeDocument/2006/relationships/settings" Target="settings.xml"/><Relationship Id="rId5" Type="http://schemas.openxmlformats.org/officeDocument/2006/relationships/header" Target="header1.xml"/><Relationship Id="rId6" Type="http://schemas.openxmlformats.org/officeDocument/2006/relationships/footer" Target="footer2.xml"/><Relationship Id="rId7" Type="http://schemas.openxmlformats.org/officeDocument/2006/relationships/styles" Target="styles.xml"/><Relationship Id="rId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TotalTime>
  <Words>6005</Words>
  <Pages>23</Pages>
  <Characters>37616</Characters>
  <Application>WPS Office</Application>
  <DocSecurity>0</DocSecurity>
  <Paragraphs>758</Paragraphs>
  <ScaleCrop>false</ScaleCrop>
  <LinksUpToDate>false</LinksUpToDate>
  <CharactersWithSpaces>42967</CharactersWithSpaces>
  <SharedDoc>false</SharedDoc>
  <HyperlinksChanged>false</HyperlinksChanged>
  <AppVersion>15.000</AppVersion>
</Properties>
</file>

<file path=docProps/core.xml><?xml version="1.0" encoding="utf-8"?>
<coreProperties xmlns="http://schemas.openxmlformats.org/package/2006/metadata/core-properties" xmlns:cp="http://schemas.openxmlformats.org/package/2006/metadata/core-properties" xmlns:dc="http://purl.org/dc/elements/1.1/" xmlns:dcterms="http://purl.org/dc/terms/" xmlns:xsi="http://www.w3.org/2001/XMLSchema-instance">
  <dcterms:created xsi:type="dcterms:W3CDTF">2026-09-25T09:15:00Z</dcterms:created>
  <dc:creator>Un-named</dc:creator>
  <lastModifiedBy>Infinix X6725</lastModifiedBy>
  <dcterms:modified xsi:type="dcterms:W3CDTF">2026-09-25T17:31:35Z</dcterms:modified>
  <revision>2</revision>
</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a87c4cc7-bb84-4926-83f7-1a54c26f910e</vt:lpwstr>
  </property>
  <property fmtid="{D5CDD505-2E9C-101B-9397-08002B2CF9AE}" pid="3" name="ICV">
    <vt:lpwstr>da4bd77587ba449a9336a3fda0d854e3_23</vt:lpwstr>
  </property>
</Properties>
</file>