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25DE" w14:textId="77777777" w:rsidR="00C542FB" w:rsidRDefault="00000000" w:rsidP="001F4F80">
      <w:pPr>
        <w:bidi/>
        <w:spacing w:after="80"/>
      </w:pPr>
      <w:r>
        <w:rPr>
          <w:b/>
          <w:bCs/>
          <w:color w:val="1F2A6B"/>
          <w:sz w:val="32"/>
          <w:szCs w:val="32"/>
          <w:rtl/>
        </w:rPr>
        <w:t>مسودة محتوى شاشة «قبل أن تصلي»</w:t>
      </w:r>
    </w:p>
    <w:p w14:paraId="455A5E09" w14:textId="77777777" w:rsidR="00C542FB" w:rsidRDefault="00000000" w:rsidP="001F4F80">
      <w:pPr>
        <w:bidi/>
        <w:spacing w:after="160"/>
      </w:pPr>
      <w:r>
        <w:rPr>
          <w:color w:val="555555"/>
          <w:rtl/>
        </w:rPr>
        <w:t>إعداد: خديجة العمودي  |  للمراجعة والاعتماد: ليان العصيمي (مسؤولة المحتوى) والمختص الشرعي</w:t>
      </w:r>
    </w:p>
    <w:p w14:paraId="36D65570" w14:textId="77777777" w:rsidR="00C542FB" w:rsidRDefault="00000000" w:rsidP="001F4F80">
      <w:pPr>
        <w:bidi/>
        <w:spacing w:after="60"/>
      </w:pPr>
      <w:r>
        <w:rPr>
          <w:b/>
          <w:bCs/>
          <w:rtl/>
        </w:rPr>
        <w:t>قبل الاعتماد:</w:t>
      </w:r>
    </w:p>
    <w:p w14:paraId="57987F2E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هذه مسودة للمراجعة فقط، ولا يدخل أي سطر للتطبيق قبل موافقة ليان.</w:t>
      </w:r>
    </w:p>
    <w:p w14:paraId="1053EB38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عمود «السطر في التطبيق» هو ما سيظهر للمستخدم بالإنجليزية. يمكن تعديل الصياغة بحرية.</w:t>
      </w:r>
    </w:p>
    <w:p w14:paraId="7E737F35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أرقام الأحاديث تختلف بين الطبعات، فيُرجى التحقق منها في الدرر السنية قبل اعتمادها.</w:t>
      </w:r>
    </w:p>
    <w:p w14:paraId="2FE4197A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عمود «ملاحظات ليان» فارغ: اكتبي فيه (معتمد / عدّلي إلى ... / احذف).</w:t>
      </w:r>
    </w:p>
    <w:p w14:paraId="5CB235A9" w14:textId="77777777" w:rsidR="00C542FB" w:rsidRDefault="00C542FB" w:rsidP="001F4F80">
      <w:pPr>
        <w:bidi/>
        <w:spacing w:after="120"/>
      </w:pPr>
    </w:p>
    <w:tbl>
      <w:tblPr>
        <w:bidiVisual/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547"/>
        <w:gridCol w:w="2302"/>
        <w:gridCol w:w="2505"/>
        <w:gridCol w:w="2555"/>
        <w:gridCol w:w="2975"/>
        <w:gridCol w:w="2491"/>
      </w:tblGrid>
      <w:tr w:rsidR="00C542FB" w14:paraId="3DBE6286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17427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#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1DB41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الشرط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5135A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السطر في التطبيق (إنجليزي، مسودة)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402CA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توضيح مختصر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BE7D5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الدليل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9C3A0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2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A485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color w:val="FFFFFF"/>
                <w:rtl/>
              </w:rPr>
              <w:t>ملاحظات ليان</w:t>
            </w:r>
          </w:p>
        </w:tc>
      </w:tr>
      <w:tr w:rsidR="00C542FB" w14:paraId="43B859BD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69136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D98FE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دخول الوقت</w:t>
            </w:r>
          </w:p>
          <w:p w14:paraId="3032E99E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Prayer time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925B9" w14:textId="77777777" w:rsidR="00C542FB" w:rsidRDefault="00000000" w:rsidP="001F4F80">
            <w:pPr>
              <w:bidi/>
              <w:spacing w:after="60"/>
            </w:pPr>
            <w:r>
              <w:t>The time for Fajr has started.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8E896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لا تصح الصلاة قبل دخول وقتها، ونُقل الإجماع على ذلك.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F916D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قال تعالى: ﴿إِنَّ الصَّلَاةَ كَانَتْ عَلَى الْمُؤْمِنِينَ كِتَابًا مَوْقُوتًا﴾ [النساء: 103]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FD5E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الموسوعة الفقهية، اشتراط دخول الوقت</w:t>
            </w:r>
          </w:p>
          <w:p w14:paraId="1386DDA3" w14:textId="77777777" w:rsidR="00C542FB" w:rsidRDefault="00C542FB" w:rsidP="001F4F80">
            <w:pPr>
              <w:bidi/>
              <w:spacing w:after="40"/>
            </w:pPr>
            <w:hyperlink r:id="rId5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https://dorar.net/feqhia/831</w:t>
              </w:r>
            </w:hyperlink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6B91" w14:textId="372E1870" w:rsidR="00C542FB" w:rsidRDefault="003E6738" w:rsidP="001F4F80">
            <w:pPr>
              <w:bidi/>
              <w:spacing w:after="60"/>
            </w:pPr>
            <w:r>
              <w:rPr>
                <w:rFonts w:hint="cs"/>
                <w:rtl/>
              </w:rPr>
              <w:t xml:space="preserve">تمت الموافقة </w:t>
            </w:r>
          </w:p>
        </w:tc>
      </w:tr>
      <w:tr w:rsidR="00C542FB" w14:paraId="3B3670B5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78D1E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D6920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الطهارة من الحدث (الوضوء)</w:t>
            </w:r>
          </w:p>
          <w:p w14:paraId="3A46D76D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Wudu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35287" w14:textId="77777777" w:rsidR="00C542FB" w:rsidRDefault="00000000" w:rsidP="001F4F80">
            <w:pPr>
              <w:bidi/>
              <w:spacing w:after="60"/>
            </w:pPr>
            <w:r>
              <w:t>You have made wudu (ablution).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EE64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لا تصح الصلاة إلا بالطهارة من الحدث الأصغر (بالوضوء) والأكبر (بالغسل).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35B00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قال صلى الله عليه وسلم: «لا تُقبَلُ صلاةٌ بغيرِ طُهور» رواه مسلم.</w:t>
            </w:r>
          </w:p>
          <w:p w14:paraId="5CA705AF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وقال صلى الله عليه وسلم: «لا تُقبَلُ صلاةُ مَن أحدَثَ حتى يتوضأ» متفق عليه.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1FFFD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الموسوعة الفقهية (حديث «لا تقبل صلاة بغير طهور»)</w:t>
            </w:r>
          </w:p>
          <w:p w14:paraId="12165897" w14:textId="77777777" w:rsidR="00C542FB" w:rsidRDefault="00C542FB" w:rsidP="001F4F80">
            <w:pPr>
              <w:bidi/>
              <w:spacing w:after="40"/>
            </w:pPr>
            <w:hyperlink r:id="rId6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https://dorar.net/feqhia/1113</w:t>
              </w:r>
            </w:hyperlink>
          </w:p>
          <w:p w14:paraId="7E515DDC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تمهيد كتاب الطهارة</w:t>
            </w:r>
          </w:p>
          <w:p w14:paraId="128ACC4B" w14:textId="77777777" w:rsidR="00C542FB" w:rsidRDefault="00C542FB" w:rsidP="001F4F80">
            <w:pPr>
              <w:bidi/>
              <w:spacing w:after="40"/>
            </w:pPr>
            <w:hyperlink r:id="rId7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</w:t>
              </w:r>
              <w:r>
                <w:rPr>
                  <w:rStyle w:val="Hyperlink"/>
                  <w:color w:val="1155CC"/>
                  <w:sz w:val="16"/>
                  <w:szCs w:val="16"/>
                </w:rPr>
                <w:t>t</w:t>
              </w:r>
              <w:r>
                <w:rPr>
                  <w:rStyle w:val="Hyperlink"/>
                  <w:color w:val="1155CC"/>
                  <w:sz w:val="16"/>
                  <w:szCs w:val="16"/>
                </w:rPr>
                <w:t>/feqhia/3</w:t>
              </w:r>
            </w:hyperlink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9D5A" w14:textId="1AD81050" w:rsidR="00C542FB" w:rsidRDefault="005C467C" w:rsidP="001F4F80">
            <w:pPr>
              <w:bidi/>
              <w:spacing w:after="60"/>
              <w:rPr>
                <w:rtl/>
              </w:rPr>
            </w:pPr>
            <w:r>
              <w:rPr>
                <w:rFonts w:hint="cs"/>
                <w:rtl/>
              </w:rPr>
              <w:t xml:space="preserve">تمت الموافقة، مع ضرورة </w:t>
            </w:r>
            <w:hyperlink r:id="rId8" w:history="1">
              <w:r w:rsidRPr="00CA4C15">
                <w:rPr>
                  <w:rStyle w:val="Hyperlink"/>
                  <w:rtl/>
                </w:rPr>
                <w:t>إرفاق رابط يُحيل إلى صفة الوضوء</w:t>
              </w:r>
            </w:hyperlink>
          </w:p>
          <w:p w14:paraId="451D3953" w14:textId="49B4F01B" w:rsidR="00032880" w:rsidRDefault="00032880" w:rsidP="00032880">
            <w:pPr>
              <w:bidi/>
              <w:spacing w:after="60"/>
              <w:rPr>
                <w:rtl/>
              </w:rPr>
            </w:pPr>
            <w:r>
              <w:rPr>
                <w:rFonts w:hint="cs"/>
                <w:rtl/>
              </w:rPr>
              <w:t>الرابط:</w:t>
            </w:r>
          </w:p>
          <w:p w14:paraId="785EB306" w14:textId="341B031A" w:rsidR="00032880" w:rsidRPr="00032880" w:rsidRDefault="00032880" w:rsidP="00032880">
            <w:pPr>
              <w:bidi/>
              <w:spacing w:after="60"/>
              <w:rPr>
                <w:lang w:val="en-US"/>
              </w:rPr>
            </w:pPr>
            <w:hyperlink r:id="rId9" w:history="1">
              <w:r w:rsidRPr="00032880">
                <w:rPr>
                  <w:rStyle w:val="Hyperlink"/>
                  <w:lang w:val="en-US"/>
                </w:rPr>
                <w:t>https://youtu.be/2xS70Zn-jRk</w:t>
              </w:r>
            </w:hyperlink>
          </w:p>
          <w:p w14:paraId="74766AC5" w14:textId="77777777" w:rsidR="00032880" w:rsidRDefault="00032880" w:rsidP="00032880">
            <w:pPr>
              <w:bidi/>
              <w:spacing w:after="60"/>
            </w:pPr>
          </w:p>
          <w:p w14:paraId="71CC0706" w14:textId="7D3996CC" w:rsidR="00CA4C15" w:rsidRPr="00CA4C15" w:rsidRDefault="00CA4C15" w:rsidP="00CA4C15">
            <w:pPr>
              <w:bidi/>
              <w:spacing w:after="60"/>
            </w:pPr>
          </w:p>
        </w:tc>
      </w:tr>
      <w:tr w:rsidR="00C542FB" w14:paraId="08F7B3D2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EAF97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2F38C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الطهارة من النجاسة</w:t>
            </w:r>
          </w:p>
          <w:p w14:paraId="51760478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Purity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65BCB" w14:textId="77777777" w:rsidR="00C542FB" w:rsidRDefault="00000000" w:rsidP="001F4F80">
            <w:pPr>
              <w:bidi/>
              <w:spacing w:after="60"/>
            </w:pPr>
            <w:r>
              <w:t>Your body, clothes and place are clean.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C3950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طهارة البدن والثوب والمكان من النجاسة شرط لصحة الصلاة، وهو مذهب الجمهور ومنهم الحنابلة.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F7F3C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قال تعالى: ﴿وَثِيَابَكَ فَطَهِّرْ﴾ [المدثر: 4]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12472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الطهارة من النجس</w:t>
            </w:r>
          </w:p>
          <w:p w14:paraId="1EE008CD" w14:textId="77777777" w:rsidR="00C542FB" w:rsidRDefault="00C542FB" w:rsidP="001F4F80">
            <w:pPr>
              <w:bidi/>
              <w:spacing w:after="40"/>
            </w:pPr>
            <w:hyperlink r:id="rId10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https://dorar.net/feqhia/826</w:t>
              </w:r>
            </w:hyperlink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E5CB8" w14:textId="77173B68" w:rsidR="00C542FB" w:rsidRDefault="00B150EF" w:rsidP="001F4F80">
            <w:pPr>
              <w:bidi/>
              <w:spacing w:after="60"/>
            </w:pPr>
            <w:r>
              <w:rPr>
                <w:rFonts w:hint="cs"/>
                <w:rtl/>
              </w:rPr>
              <w:t>تمت الموافقة</w:t>
            </w:r>
          </w:p>
        </w:tc>
      </w:tr>
      <w:tr w:rsidR="00C542FB" w:rsidRPr="00CA4C15" w14:paraId="1D32EB0C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A42E0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45F13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ستر العورة</w:t>
            </w:r>
          </w:p>
          <w:p w14:paraId="19E00B42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Covering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B506" w14:textId="77777777" w:rsidR="00C542FB" w:rsidRDefault="00000000" w:rsidP="001F4F80">
            <w:pPr>
              <w:bidi/>
              <w:spacing w:after="60"/>
            </w:pPr>
            <w:r>
              <w:t>Your body is covered as required.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9888D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يجب ستر العورة في الصلاة. عورة الرجل ما بين السرة والركبة باتفاق المذاهب الأربعة. وفي عورة المرأة في الصلاة تفصيل (يُراجَع مع المختص).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5174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نُقل الإجماع على فساد صلاة من صلى عريانًا وهو قادر على الستر (ابن عبد البر).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ACE0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حد العورة في الصلاة</w:t>
            </w:r>
          </w:p>
          <w:p w14:paraId="271D5BC9" w14:textId="77777777" w:rsidR="00B150EF" w:rsidRDefault="00C542FB" w:rsidP="00B150EF">
            <w:pPr>
              <w:bidi/>
              <w:spacing w:after="40"/>
              <w:rPr>
                <w:rtl/>
              </w:rPr>
            </w:pPr>
            <w:hyperlink r:id="rId11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https://dorar.net/feqhia/874</w:t>
              </w:r>
            </w:hyperlink>
          </w:p>
          <w:p w14:paraId="26346A53" w14:textId="77777777" w:rsidR="00B150EF" w:rsidRDefault="00B150EF" w:rsidP="00B150EF">
            <w:pPr>
              <w:bidi/>
              <w:spacing w:after="40"/>
              <w:rPr>
                <w:sz w:val="17"/>
                <w:szCs w:val="17"/>
                <w:rtl/>
              </w:rPr>
            </w:pPr>
            <w:r w:rsidRPr="00B150EF">
              <w:rPr>
                <w:rFonts w:hint="cs"/>
                <w:sz w:val="17"/>
                <w:szCs w:val="17"/>
                <w:rtl/>
              </w:rPr>
              <w:t>الإسلام سؤال وجواب:</w:t>
            </w:r>
            <w:r>
              <w:rPr>
                <w:rFonts w:hint="cs"/>
                <w:sz w:val="17"/>
                <w:szCs w:val="17"/>
                <w:rtl/>
              </w:rPr>
              <w:t xml:space="preserve"> </w:t>
            </w:r>
            <w:r w:rsidRPr="00B150EF">
              <w:rPr>
                <w:sz w:val="17"/>
                <w:szCs w:val="17"/>
              </w:rPr>
              <w:t>Conditions of the Validity of Prayer</w:t>
            </w:r>
          </w:p>
          <w:p w14:paraId="0BE159AD" w14:textId="1ACBE95C" w:rsidR="00B150EF" w:rsidRPr="00B150EF" w:rsidRDefault="00B150EF" w:rsidP="00B150EF">
            <w:pPr>
              <w:bidi/>
              <w:spacing w:after="40"/>
              <w:rPr>
                <w:rStyle w:val="Hyperlink"/>
                <w:color w:val="1155CC"/>
                <w:sz w:val="16"/>
                <w:szCs w:val="16"/>
              </w:rPr>
            </w:pPr>
            <w:hyperlink r:id="rId12" w:history="1">
              <w:r w:rsidRPr="00B150EF">
                <w:rPr>
                  <w:rStyle w:val="Hyperlink"/>
                  <w:sz w:val="16"/>
                  <w:szCs w:val="16"/>
                </w:rPr>
                <w:t>https://islamqa.</w:t>
              </w:r>
              <w:r w:rsidRPr="00B150EF">
                <w:rPr>
                  <w:rStyle w:val="Hyperlink"/>
                  <w:sz w:val="16"/>
                  <w:szCs w:val="16"/>
                </w:rPr>
                <w:t>i</w:t>
              </w:r>
              <w:r w:rsidRPr="00B150EF">
                <w:rPr>
                  <w:rStyle w:val="Hyperlink"/>
                  <w:sz w:val="16"/>
                  <w:szCs w:val="16"/>
                </w:rPr>
                <w:t>nfo/en/answers/107701</w:t>
              </w:r>
            </w:hyperlink>
          </w:p>
          <w:p w14:paraId="6729F021" w14:textId="43DFC4A6" w:rsidR="00B150EF" w:rsidRDefault="00B150EF" w:rsidP="00B150EF">
            <w:pPr>
              <w:bidi/>
              <w:spacing w:after="40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8DF53" w14:textId="77777777" w:rsidR="00C542FB" w:rsidRDefault="00B150EF" w:rsidP="00CA4C15">
            <w:pPr>
              <w:bidi/>
              <w:spacing w:after="60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تمت الموافقة، مع أهمية إيضاح حدود العورة بشكل مختصر بالإنجليزي</w:t>
            </w:r>
            <w:r w:rsidR="00CA4C15">
              <w:rPr>
                <w:rFonts w:hint="cs"/>
                <w:rtl/>
                <w:lang w:val="en-US"/>
              </w:rPr>
              <w:t>ة:</w:t>
            </w:r>
          </w:p>
          <w:p w14:paraId="4EDE58E5" w14:textId="77777777" w:rsidR="00CA4C15" w:rsidRPr="00CA4C15" w:rsidRDefault="00CA4C15" w:rsidP="00CA4C15">
            <w:pPr>
              <w:bidi/>
              <w:spacing w:after="60"/>
              <w:rPr>
                <w:lang w:val="en-US"/>
              </w:rPr>
            </w:pPr>
            <w:r w:rsidRPr="00CA4C15">
              <w:rPr>
                <w:b/>
                <w:bCs/>
                <w:lang w:val="en-US"/>
              </w:rPr>
              <w:t>Male (10+): cover from navel to knees. Female: cover the entire body except face and hands.</w:t>
            </w:r>
          </w:p>
          <w:p w14:paraId="4EEE0B43" w14:textId="0397AFCE" w:rsidR="00CA4C15" w:rsidRPr="00B150EF" w:rsidRDefault="00CA4C15" w:rsidP="00CA4C15">
            <w:pPr>
              <w:bidi/>
              <w:spacing w:after="60"/>
              <w:rPr>
                <w:lang w:val="en-US"/>
              </w:rPr>
            </w:pPr>
          </w:p>
        </w:tc>
      </w:tr>
      <w:tr w:rsidR="00C542FB" w14:paraId="3FE67D4C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FFCE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lastRenderedPageBreak/>
              <w:t>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5082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استقبال القبلة</w:t>
            </w:r>
          </w:p>
          <w:p w14:paraId="6ADE80C9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Facing the Qibla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9F12" w14:textId="77777777" w:rsidR="00C542FB" w:rsidRDefault="00000000" w:rsidP="001F4F80">
            <w:pPr>
              <w:bidi/>
              <w:spacing w:after="60"/>
            </w:pPr>
            <w:r>
              <w:t xml:space="preserve">You are facing the direction of the </w:t>
            </w:r>
            <w:proofErr w:type="spellStart"/>
            <w:r>
              <w:t>Ka'bah</w:t>
            </w:r>
            <w:proofErr w:type="spellEnd"/>
            <w:r>
              <w:t>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65FB7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استقبال القبلة شرط لصحة الصلاة مع القدرة، ومن كان بعيدًا عن الكعبة يستقبل جهتها.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B1CA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قال تعالى: ﴿فَوَلِّ وَجْهَكَ شَطْرَ الْمَسْجِدِ الْحَرَامِ وَحَيْثُ مَا كُنتُمْ فَوَلُّوا وُجُوهَكُمْ شَطْرَهُ﴾ [البقرة: 144]</w:t>
            </w:r>
          </w:p>
          <w:p w14:paraId="233B8912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وحديث المسيء صلاته: «إذا قمتَ إلى الصلاة فأسبغ الوضوء، ثم استقبل القبلة فكبِّر».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4697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حكم استقبال القبلة في الصلاة</w:t>
            </w:r>
          </w:p>
          <w:p w14:paraId="11CEDA89" w14:textId="77777777" w:rsidR="00C542FB" w:rsidRDefault="00C542FB" w:rsidP="001F4F80">
            <w:pPr>
              <w:bidi/>
              <w:spacing w:after="40"/>
            </w:pPr>
            <w:hyperlink r:id="rId13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https://dorar.net/feqhia/857</w:t>
              </w:r>
            </w:hyperlink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7EC7" w14:textId="4CF88D5C" w:rsidR="00C542FB" w:rsidRDefault="00B150EF" w:rsidP="001F4F80">
            <w:pPr>
              <w:bidi/>
              <w:spacing w:after="60"/>
            </w:pPr>
            <w:r>
              <w:rPr>
                <w:rFonts w:hint="cs"/>
                <w:rtl/>
              </w:rPr>
              <w:t>تمت الموافقة</w:t>
            </w:r>
          </w:p>
        </w:tc>
      </w:tr>
      <w:tr w:rsidR="00C542FB" w14:paraId="63B94C89" w14:textId="77777777">
        <w:trPr>
          <w:cantSplit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1A0C2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E548" w14:textId="77777777" w:rsidR="00C542FB" w:rsidRDefault="00000000" w:rsidP="001F4F80">
            <w:pPr>
              <w:bidi/>
              <w:spacing w:after="60"/>
            </w:pPr>
            <w:r>
              <w:rPr>
                <w:b/>
                <w:bCs/>
                <w:rtl/>
              </w:rPr>
              <w:t>النية</w:t>
            </w:r>
          </w:p>
          <w:p w14:paraId="3448B47A" w14:textId="77777777" w:rsidR="00C542FB" w:rsidRDefault="00000000" w:rsidP="001F4F80">
            <w:pPr>
              <w:bidi/>
              <w:spacing w:after="60"/>
            </w:pPr>
            <w:r>
              <w:rPr>
                <w:color w:val="555555"/>
                <w:sz w:val="18"/>
                <w:szCs w:val="18"/>
              </w:rPr>
              <w:t>Intention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846F" w14:textId="77777777" w:rsidR="00C542FB" w:rsidRDefault="00000000" w:rsidP="001F4F80">
            <w:pPr>
              <w:bidi/>
              <w:spacing w:after="60"/>
            </w:pPr>
            <w:r>
              <w:t>You intend in your heart to pray Fajr.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878B" w14:textId="77777777" w:rsidR="00C542FB" w:rsidRDefault="00000000" w:rsidP="001F4F80">
            <w:pPr>
              <w:bidi/>
              <w:spacing w:after="60"/>
            </w:pPr>
            <w:r>
              <w:rPr>
                <w:rtl/>
              </w:rPr>
              <w:t>لا تصح الصلاة إلا بالنية، ومحلها القلب.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DA495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قال تعالى: ﴿وَمَا أُمِرُوا إِلَّا لِيَعْبُدُوا اللَّهَ مُخْلِصِينَ لَهُ الدِّينَ﴾ [البينة: 5]</w:t>
            </w:r>
          </w:p>
          <w:p w14:paraId="682FADBC" w14:textId="77777777" w:rsidR="00C542FB" w:rsidRDefault="00000000" w:rsidP="001F4F80">
            <w:pPr>
              <w:bidi/>
              <w:spacing w:after="60"/>
            </w:pPr>
            <w:r>
              <w:rPr>
                <w:sz w:val="19"/>
                <w:szCs w:val="19"/>
                <w:rtl/>
              </w:rPr>
              <w:t>وقال صلى الله عليه وسلم: «إنما الأعمالُ بالنيات» متفق عليه.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8FBB0" w14:textId="77777777" w:rsidR="00C542FB" w:rsidRDefault="00000000" w:rsidP="001F4F80">
            <w:pPr>
              <w:bidi/>
              <w:spacing w:after="60"/>
            </w:pPr>
            <w:r>
              <w:rPr>
                <w:sz w:val="17"/>
                <w:szCs w:val="17"/>
                <w:rtl/>
              </w:rPr>
              <w:t>الدرر السنية: النية</w:t>
            </w:r>
          </w:p>
          <w:p w14:paraId="274C421E" w14:textId="77777777" w:rsidR="00C542FB" w:rsidRDefault="00C542FB" w:rsidP="001F4F80">
            <w:pPr>
              <w:bidi/>
              <w:spacing w:after="40"/>
            </w:pPr>
            <w:hyperlink r:id="rId14" w:history="1">
              <w:r>
                <w:rPr>
                  <w:rStyle w:val="Hyperlink"/>
                  <w:color w:val="1155CC"/>
                  <w:sz w:val="16"/>
                  <w:szCs w:val="16"/>
                </w:rPr>
                <w:t>https://dorar.net/feqhia/881</w:t>
              </w:r>
            </w:hyperlink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12EB3" w14:textId="5588AFA8" w:rsidR="00C542FB" w:rsidRDefault="00B150EF" w:rsidP="001F4F80">
            <w:pPr>
              <w:bidi/>
              <w:spacing w:after="60"/>
            </w:pPr>
            <w:r>
              <w:rPr>
                <w:rFonts w:hint="cs"/>
                <w:rtl/>
              </w:rPr>
              <w:t>تمت الموافقة</w:t>
            </w:r>
          </w:p>
        </w:tc>
      </w:tr>
    </w:tbl>
    <w:p w14:paraId="56BA16DC" w14:textId="77777777" w:rsidR="00C542FB" w:rsidRDefault="00C542FB" w:rsidP="001F4F80">
      <w:pPr>
        <w:bidi/>
        <w:spacing w:after="160"/>
      </w:pPr>
    </w:p>
    <w:p w14:paraId="3C0BCFC3" w14:textId="77777777" w:rsidR="00C542FB" w:rsidRDefault="00000000" w:rsidP="001F4F80">
      <w:pPr>
        <w:bidi/>
        <w:spacing w:after="80"/>
      </w:pPr>
      <w:r>
        <w:rPr>
          <w:b/>
          <w:bCs/>
          <w:color w:val="1F2A6B"/>
          <w:sz w:val="24"/>
          <w:szCs w:val="24"/>
          <w:rtl/>
        </w:rPr>
        <w:t>شروط لم تُدرج في الشاشة (القرار لليان)</w:t>
      </w:r>
    </w:p>
    <w:p w14:paraId="2C2E3D83" w14:textId="27A5E3A5" w:rsidR="00C542FB" w:rsidRDefault="00000000" w:rsidP="001F4F80">
      <w:pPr>
        <w:bidi/>
        <w:spacing w:after="60"/>
      </w:pPr>
      <w:r>
        <w:rPr>
          <w:rtl/>
        </w:rPr>
        <w:t>يذكر أهل العلم شروطًا تسعة للصلاة، منها ثلاثة لم تُدرج في القائمة: الإسلام، والعقل، والتمييز. والسبب المقترح أنها متحققة في كل من يستخدم التطبيق ليصلي، فلا تصلح بندًا يؤشر عليه المستخدم قبل الصلاة. هل نوافق على استبعادها، أم نذكرها في سطر تعريفي؟</w:t>
      </w:r>
      <w:r w:rsidR="00B150EF">
        <w:rPr>
          <w:rFonts w:hint="cs"/>
          <w:rtl/>
        </w:rPr>
        <w:t xml:space="preserve"> </w:t>
      </w:r>
      <w:r w:rsidR="00B150EF" w:rsidRPr="00B150EF">
        <w:rPr>
          <w:rFonts w:hint="cs"/>
          <w:color w:val="767171" w:themeColor="background2" w:themeShade="80"/>
          <w:rtl/>
        </w:rPr>
        <w:t>لا داعي لذكرها في هذه المرحلة لطبيعة تحققها في المستخدم</w:t>
      </w:r>
      <w:r w:rsidR="00B150EF">
        <w:rPr>
          <w:rFonts w:hint="cs"/>
          <w:color w:val="767171" w:themeColor="background2" w:themeShade="80"/>
          <w:rtl/>
        </w:rPr>
        <w:t>(ليان)</w:t>
      </w:r>
    </w:p>
    <w:p w14:paraId="04FAA3FC" w14:textId="77777777" w:rsidR="00C542FB" w:rsidRDefault="00000000" w:rsidP="001F4F80">
      <w:pPr>
        <w:bidi/>
        <w:spacing w:after="60"/>
      </w:pPr>
      <w:r>
        <w:rPr>
          <w:b/>
          <w:bCs/>
          <w:rtl/>
        </w:rPr>
        <w:t xml:space="preserve">المرجع العام لقائمة الشروط: </w:t>
      </w:r>
      <w:r>
        <w:rPr>
          <w:rtl/>
        </w:rPr>
        <w:t xml:space="preserve">كتاب «شروط الصلاة وواجباتها وأركانها» مع تعليق الشيخ </w:t>
      </w:r>
      <w:proofErr w:type="gramStart"/>
      <w:r>
        <w:rPr>
          <w:rtl/>
        </w:rPr>
        <w:t>عبدالعزيز</w:t>
      </w:r>
      <w:proofErr w:type="gramEnd"/>
      <w:r>
        <w:rPr>
          <w:rtl/>
        </w:rPr>
        <w:t xml:space="preserve"> بن باز رحمه الله.</w:t>
      </w:r>
    </w:p>
    <w:p w14:paraId="1E71A269" w14:textId="77777777" w:rsidR="00C542FB" w:rsidRDefault="00C542FB" w:rsidP="001F4F80">
      <w:pPr>
        <w:bidi/>
        <w:spacing w:after="40"/>
      </w:pPr>
      <w:hyperlink r:id="rId15" w:history="1">
        <w:r>
          <w:rPr>
            <w:rStyle w:val="Hyperlink"/>
            <w:color w:val="1155CC"/>
            <w:sz w:val="16"/>
            <w:szCs w:val="16"/>
          </w:rPr>
          <w:t xml:space="preserve">binbaz.org.sa: </w:t>
        </w:r>
        <w:proofErr w:type="spellStart"/>
        <w:r>
          <w:rPr>
            <w:rStyle w:val="Hyperlink"/>
            <w:color w:val="1155CC"/>
            <w:sz w:val="16"/>
            <w:szCs w:val="16"/>
          </w:rPr>
          <w:t>شروط</w:t>
        </w:r>
        <w:proofErr w:type="spellEnd"/>
        <w:r>
          <w:rPr>
            <w:rStyle w:val="Hyperlink"/>
            <w:color w:val="1155CC"/>
            <w:sz w:val="16"/>
            <w:szCs w:val="16"/>
          </w:rPr>
          <w:t xml:space="preserve"> </w:t>
        </w:r>
        <w:proofErr w:type="spellStart"/>
        <w:r>
          <w:rPr>
            <w:rStyle w:val="Hyperlink"/>
            <w:color w:val="1155CC"/>
            <w:sz w:val="16"/>
            <w:szCs w:val="16"/>
          </w:rPr>
          <w:t>الصلاة</w:t>
        </w:r>
        <w:proofErr w:type="spellEnd"/>
        <w:r>
          <w:rPr>
            <w:rStyle w:val="Hyperlink"/>
            <w:color w:val="1155CC"/>
            <w:sz w:val="16"/>
            <w:szCs w:val="16"/>
          </w:rPr>
          <w:t xml:space="preserve"> </w:t>
        </w:r>
        <w:proofErr w:type="spellStart"/>
        <w:r>
          <w:rPr>
            <w:rStyle w:val="Hyperlink"/>
            <w:color w:val="1155CC"/>
            <w:sz w:val="16"/>
            <w:szCs w:val="16"/>
          </w:rPr>
          <w:t>وواجباتها</w:t>
        </w:r>
        <w:proofErr w:type="spellEnd"/>
        <w:r>
          <w:rPr>
            <w:rStyle w:val="Hyperlink"/>
            <w:color w:val="1155CC"/>
            <w:sz w:val="16"/>
            <w:szCs w:val="16"/>
          </w:rPr>
          <w:t xml:space="preserve"> </w:t>
        </w:r>
        <w:proofErr w:type="spellStart"/>
        <w:r>
          <w:rPr>
            <w:rStyle w:val="Hyperlink"/>
            <w:color w:val="1155CC"/>
            <w:sz w:val="16"/>
            <w:szCs w:val="16"/>
          </w:rPr>
          <w:t>وأركانها</w:t>
        </w:r>
        <w:proofErr w:type="spellEnd"/>
      </w:hyperlink>
    </w:p>
    <w:p w14:paraId="087061E7" w14:textId="77777777" w:rsidR="00C542FB" w:rsidRDefault="00C542FB" w:rsidP="001F4F80">
      <w:pPr>
        <w:bidi/>
        <w:spacing w:after="120"/>
      </w:pPr>
    </w:p>
    <w:p w14:paraId="5A688088" w14:textId="77777777" w:rsidR="00C542FB" w:rsidRDefault="00000000" w:rsidP="001F4F80">
      <w:pPr>
        <w:bidi/>
        <w:spacing w:after="80"/>
      </w:pPr>
      <w:r>
        <w:rPr>
          <w:b/>
          <w:bCs/>
          <w:color w:val="1F2A6B"/>
          <w:sz w:val="24"/>
          <w:szCs w:val="24"/>
          <w:rtl/>
        </w:rPr>
        <w:t>أسئلة للمختص</w:t>
      </w:r>
    </w:p>
    <w:p w14:paraId="7617C249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صياغة سطر «ستر العورة» للمستخدم: هل نكتفي بـ «Your body is covered as required» أم نذكر حد العورة للرجل والمرأة؟ وما المعتمد في المذهب الحنبلي لعورة المرأة في الصلاة؟</w:t>
      </w:r>
    </w:p>
    <w:p w14:paraId="08856568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هل نضيف لسطر «دخول الوقت» توضيح وقت الفجر (من طلوع الفجر الصادق إلى شروق الشمس)؟</w:t>
      </w:r>
    </w:p>
    <w:p w14:paraId="008FF611" w14:textId="77777777" w:rsidR="00C542FB" w:rsidRDefault="00000000" w:rsidP="001F4F80">
      <w:pPr>
        <w:pStyle w:val="ListParagraph"/>
        <w:numPr>
          <w:ilvl w:val="0"/>
          <w:numId w:val="2"/>
        </w:numPr>
        <w:bidi/>
        <w:spacing w:after="60"/>
      </w:pPr>
      <w:r>
        <w:rPr>
          <w:rtl/>
        </w:rPr>
        <w:t>هل نذكر التيمم عند تعذر الماء، أم نؤجله لإصدار لاحق؟</w:t>
      </w:r>
    </w:p>
    <w:sectPr w:rsidR="00C542FB">
      <w:pgSz w:w="16838" w:h="11906" w:orient="landscape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6E09"/>
    <w:multiLevelType w:val="hybridMultilevel"/>
    <w:tmpl w:val="1E5622B2"/>
    <w:lvl w:ilvl="0" w:tplc="93663592">
      <w:start w:val="1"/>
      <w:numFmt w:val="bullet"/>
      <w:lvlText w:val="●"/>
      <w:lvlJc w:val="left"/>
      <w:pPr>
        <w:ind w:left="720" w:hanging="360"/>
      </w:pPr>
    </w:lvl>
    <w:lvl w:ilvl="1" w:tplc="7600833C">
      <w:start w:val="1"/>
      <w:numFmt w:val="bullet"/>
      <w:lvlText w:val="○"/>
      <w:lvlJc w:val="left"/>
      <w:pPr>
        <w:ind w:left="1440" w:hanging="360"/>
      </w:pPr>
    </w:lvl>
    <w:lvl w:ilvl="2" w:tplc="298C2554">
      <w:start w:val="1"/>
      <w:numFmt w:val="bullet"/>
      <w:lvlText w:val="■"/>
      <w:lvlJc w:val="left"/>
      <w:pPr>
        <w:ind w:left="2160" w:hanging="360"/>
      </w:pPr>
    </w:lvl>
    <w:lvl w:ilvl="3" w:tplc="60D2B7AC">
      <w:start w:val="1"/>
      <w:numFmt w:val="bullet"/>
      <w:lvlText w:val="●"/>
      <w:lvlJc w:val="left"/>
      <w:pPr>
        <w:ind w:left="2880" w:hanging="360"/>
      </w:pPr>
    </w:lvl>
    <w:lvl w:ilvl="4" w:tplc="AF26B0E2">
      <w:start w:val="1"/>
      <w:numFmt w:val="bullet"/>
      <w:lvlText w:val="○"/>
      <w:lvlJc w:val="left"/>
      <w:pPr>
        <w:ind w:left="3600" w:hanging="360"/>
      </w:pPr>
    </w:lvl>
    <w:lvl w:ilvl="5" w:tplc="63B464DA">
      <w:start w:val="1"/>
      <w:numFmt w:val="bullet"/>
      <w:lvlText w:val="■"/>
      <w:lvlJc w:val="left"/>
      <w:pPr>
        <w:ind w:left="4320" w:hanging="360"/>
      </w:pPr>
    </w:lvl>
    <w:lvl w:ilvl="6" w:tplc="5D0E5762">
      <w:start w:val="1"/>
      <w:numFmt w:val="bullet"/>
      <w:lvlText w:val="●"/>
      <w:lvlJc w:val="left"/>
      <w:pPr>
        <w:ind w:left="5040" w:hanging="360"/>
      </w:pPr>
    </w:lvl>
    <w:lvl w:ilvl="7" w:tplc="DEC0220C">
      <w:start w:val="1"/>
      <w:numFmt w:val="bullet"/>
      <w:lvlText w:val="●"/>
      <w:lvlJc w:val="left"/>
      <w:pPr>
        <w:ind w:left="5760" w:hanging="360"/>
      </w:pPr>
    </w:lvl>
    <w:lvl w:ilvl="8" w:tplc="885E15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F23D85"/>
    <w:multiLevelType w:val="hybridMultilevel"/>
    <w:tmpl w:val="C3C26A8C"/>
    <w:lvl w:ilvl="0" w:tplc="F7A4E7C6">
      <w:start w:val="1"/>
      <w:numFmt w:val="bullet"/>
      <w:lvlText w:val="•"/>
      <w:lvlJc w:val="right"/>
      <w:pPr>
        <w:ind w:right="360" w:hanging="260"/>
      </w:pPr>
    </w:lvl>
    <w:lvl w:ilvl="1" w:tplc="25EE8856">
      <w:numFmt w:val="decimal"/>
      <w:lvlText w:val=""/>
      <w:lvlJc w:val="left"/>
    </w:lvl>
    <w:lvl w:ilvl="2" w:tplc="BD32C202">
      <w:numFmt w:val="decimal"/>
      <w:lvlText w:val=""/>
      <w:lvlJc w:val="left"/>
    </w:lvl>
    <w:lvl w:ilvl="3" w:tplc="52DC2F18">
      <w:numFmt w:val="decimal"/>
      <w:lvlText w:val=""/>
      <w:lvlJc w:val="left"/>
    </w:lvl>
    <w:lvl w:ilvl="4" w:tplc="355442CE">
      <w:numFmt w:val="decimal"/>
      <w:lvlText w:val=""/>
      <w:lvlJc w:val="left"/>
    </w:lvl>
    <w:lvl w:ilvl="5" w:tplc="2BE430AC">
      <w:numFmt w:val="decimal"/>
      <w:lvlText w:val=""/>
      <w:lvlJc w:val="left"/>
    </w:lvl>
    <w:lvl w:ilvl="6" w:tplc="ADFE9E76">
      <w:numFmt w:val="decimal"/>
      <w:lvlText w:val=""/>
      <w:lvlJc w:val="left"/>
    </w:lvl>
    <w:lvl w:ilvl="7" w:tplc="B23C3FA2">
      <w:numFmt w:val="decimal"/>
      <w:lvlText w:val=""/>
      <w:lvlJc w:val="left"/>
    </w:lvl>
    <w:lvl w:ilvl="8" w:tplc="8CB0B778">
      <w:numFmt w:val="decimal"/>
      <w:lvlText w:val=""/>
      <w:lvlJc w:val="left"/>
    </w:lvl>
  </w:abstractNum>
  <w:num w:numId="1" w16cid:durableId="1247036282">
    <w:abstractNumId w:val="0"/>
    <w:lvlOverride w:ilvl="0">
      <w:startOverride w:val="1"/>
    </w:lvlOverride>
  </w:num>
  <w:num w:numId="2" w16cid:durableId="2019232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2FB"/>
    <w:rsid w:val="00032880"/>
    <w:rsid w:val="000E581E"/>
    <w:rsid w:val="001F4F80"/>
    <w:rsid w:val="003E6738"/>
    <w:rsid w:val="005C467C"/>
    <w:rsid w:val="008F2AC4"/>
    <w:rsid w:val="00A80493"/>
    <w:rsid w:val="00B150EF"/>
    <w:rsid w:val="00C21607"/>
    <w:rsid w:val="00C542FB"/>
    <w:rsid w:val="00CA4C15"/>
    <w:rsid w:val="00E9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3BFB"/>
  <w15:docId w15:val="{6E13033F-283C-4878-9DC0-E89E5039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F4F8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2xS70Zn-jRk?si=L2nhyQFIIvmg8I9T" TargetMode="External"/><Relationship Id="rId13" Type="http://schemas.openxmlformats.org/officeDocument/2006/relationships/hyperlink" Target="https://dorar.net/feqhia/85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rar.net/feqhia/3" TargetMode="External"/><Relationship Id="rId12" Type="http://schemas.openxmlformats.org/officeDocument/2006/relationships/hyperlink" Target="https://islamqa.info/en/answers/10770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rar.net/feqhia/1113" TargetMode="External"/><Relationship Id="rId11" Type="http://schemas.openxmlformats.org/officeDocument/2006/relationships/hyperlink" Target="https://dorar.net/feqhia/874" TargetMode="External"/><Relationship Id="rId5" Type="http://schemas.openxmlformats.org/officeDocument/2006/relationships/hyperlink" Target="https://dorar.net/feqhia/831" TargetMode="External"/><Relationship Id="rId15" Type="http://schemas.openxmlformats.org/officeDocument/2006/relationships/hyperlink" Target="https://binbaz.org.sa/audios/3006" TargetMode="External"/><Relationship Id="rId10" Type="http://schemas.openxmlformats.org/officeDocument/2006/relationships/hyperlink" Target="https://dorar.net/feqhia/8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2xS70Zn-jRk" TargetMode="External"/><Relationship Id="rId14" Type="http://schemas.openxmlformats.org/officeDocument/2006/relationships/hyperlink" Target="https://dorar.net/feqhia/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ليان مرزوق بن عواض العتيبي</cp:lastModifiedBy>
  <cp:revision>4</cp:revision>
  <dcterms:created xsi:type="dcterms:W3CDTF">2026-10-05T16:41:00Z</dcterms:created>
  <dcterms:modified xsi:type="dcterms:W3CDTF">2026-10-05T17:55:00Z</dcterms:modified>
</cp:coreProperties>
</file>