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7510" w14:textId="509EC056" w:rsidR="006468F4" w:rsidRDefault="006B1841">
      <w:pPr>
        <w:pStyle w:val="Paper-Title"/>
        <w:spacing w:after="60"/>
      </w:pPr>
      <w:r>
        <w:t xml:space="preserve">UK Natural Gas </w:t>
      </w:r>
      <w:r w:rsidR="00DD7491">
        <w:t>C</w:t>
      </w:r>
      <w:r w:rsidR="00570251">
        <w:t xml:space="preserve">onsumption and </w:t>
      </w:r>
      <w:r w:rsidR="00DD7491">
        <w:t>D</w:t>
      </w:r>
      <w:r w:rsidR="00570251">
        <w:t>ependency</w:t>
      </w:r>
      <w:r w:rsidR="00A80F49">
        <w:t xml:space="preserve"> Analyse</w:t>
      </w:r>
    </w:p>
    <w:p w14:paraId="1166D774" w14:textId="3BCECFAC" w:rsidR="00B62A75" w:rsidRPr="004E54DA" w:rsidRDefault="00570251" w:rsidP="004E54DA">
      <w:pPr>
        <w:pStyle w:val="Paper-Title"/>
        <w:spacing w:after="60"/>
        <w:rPr>
          <w:b w:val="0"/>
          <w:bCs/>
          <w:sz w:val="24"/>
          <w:szCs w:val="15"/>
        </w:rPr>
      </w:pPr>
      <w:r>
        <w:rPr>
          <w:b w:val="0"/>
          <w:bCs/>
          <w:sz w:val="24"/>
          <w:szCs w:val="15"/>
        </w:rPr>
        <w:t xml:space="preserve">Dan </w:t>
      </w:r>
      <w:r w:rsidR="00DD7491">
        <w:rPr>
          <w:b w:val="0"/>
          <w:bCs/>
          <w:sz w:val="24"/>
          <w:szCs w:val="15"/>
        </w:rPr>
        <w:t xml:space="preserve">Kha </w:t>
      </w:r>
      <w:r>
        <w:rPr>
          <w:b w:val="0"/>
          <w:bCs/>
          <w:sz w:val="24"/>
          <w:szCs w:val="15"/>
        </w:rPr>
        <w:t>Pham - 100367994</w:t>
      </w:r>
    </w:p>
    <w:p w14:paraId="3164405A" w14:textId="77777777" w:rsidR="006468F4" w:rsidRDefault="006468F4">
      <w:pPr>
        <w:sectPr w:rsidR="006468F4" w:rsidSect="00C96869">
          <w:footerReference w:type="even" r:id="rId8"/>
          <w:pgSz w:w="11906" w:h="16838" w:code="9"/>
          <w:pgMar w:top="1418" w:right="1080" w:bottom="1440" w:left="1080" w:header="720" w:footer="720" w:gutter="0"/>
          <w:cols w:space="720"/>
          <w:docGrid w:linePitch="245"/>
        </w:sectPr>
      </w:pPr>
    </w:p>
    <w:p w14:paraId="6E0593E9" w14:textId="77777777" w:rsidR="006468F4" w:rsidRDefault="006468F4">
      <w:pPr>
        <w:jc w:val="center"/>
        <w:sectPr w:rsidR="006468F4" w:rsidSect="004E54DA">
          <w:type w:val="continuous"/>
          <w:pgSz w:w="11906" w:h="16838" w:code="9"/>
          <w:pgMar w:top="1440" w:right="1080" w:bottom="1440" w:left="1080" w:header="720" w:footer="720" w:gutter="0"/>
          <w:cols w:num="3" w:space="0"/>
          <w:docGrid w:linePitch="245"/>
        </w:sectPr>
      </w:pPr>
    </w:p>
    <w:p w14:paraId="67083BF7" w14:textId="77777777" w:rsidR="006468F4" w:rsidRDefault="006468F4">
      <w:pPr>
        <w:pStyle w:val="Heading1"/>
        <w:spacing w:before="120"/>
      </w:pPr>
      <w:r>
        <w:t>INTRODUCTION</w:t>
      </w:r>
    </w:p>
    <w:p w14:paraId="75A976D7" w14:textId="2EB7F69D" w:rsidR="00AB7473" w:rsidRPr="007B3714" w:rsidRDefault="00B37464">
      <w:pPr>
        <w:pStyle w:val="BodyTextIndent"/>
        <w:spacing w:after="120"/>
        <w:ind w:firstLine="0"/>
      </w:pPr>
      <w:r w:rsidRPr="007B3714">
        <w:t xml:space="preserve">Europe has recently </w:t>
      </w:r>
      <w:r w:rsidR="00971986" w:rsidRPr="007B3714">
        <w:t>faced</w:t>
      </w:r>
      <w:r w:rsidRPr="007B3714">
        <w:t xml:space="preserve"> the problem of </w:t>
      </w:r>
      <w:r w:rsidR="00AB1EB2" w:rsidRPr="007B3714">
        <w:t xml:space="preserve">the </w:t>
      </w:r>
      <w:r w:rsidRPr="007B3714">
        <w:t xml:space="preserve">Energy crisis, </w:t>
      </w:r>
      <w:r w:rsidR="00404C01" w:rsidRPr="007B3714">
        <w:t xml:space="preserve">with the fact that the UK </w:t>
      </w:r>
      <w:r w:rsidR="00AB1EB2" w:rsidRPr="007B3714">
        <w:t xml:space="preserve">has </w:t>
      </w:r>
      <w:r w:rsidR="00404C01" w:rsidRPr="007B3714">
        <w:t xml:space="preserve">already </w:t>
      </w:r>
      <w:r w:rsidR="00332B24" w:rsidRPr="007B3714">
        <w:t>left the European Union (EU)</w:t>
      </w:r>
      <w:r w:rsidR="00B93D8F" w:rsidRPr="007B3714">
        <w:t xml:space="preserve">. </w:t>
      </w:r>
      <w:r w:rsidR="00B875A9" w:rsidRPr="007B3714">
        <w:t xml:space="preserve">I want to </w:t>
      </w:r>
      <w:r w:rsidR="00AB1EB2" w:rsidRPr="007B3714">
        <w:t>learn</w:t>
      </w:r>
      <w:r w:rsidR="00213323" w:rsidRPr="007B3714">
        <w:t xml:space="preserve"> about </w:t>
      </w:r>
      <w:r w:rsidR="00371B25" w:rsidRPr="007B3714">
        <w:t>the UK</w:t>
      </w:r>
      <w:r w:rsidR="00EF35E4">
        <w:t>’</w:t>
      </w:r>
      <w:r w:rsidR="00371B25" w:rsidRPr="007B3714">
        <w:t xml:space="preserve">s </w:t>
      </w:r>
      <w:r w:rsidR="00B875A9" w:rsidRPr="007B3714">
        <w:t>energy situation in recent years</w:t>
      </w:r>
      <w:r w:rsidR="00D60263" w:rsidRPr="007B3714">
        <w:t xml:space="preserve">. </w:t>
      </w:r>
      <w:r w:rsidR="00213323" w:rsidRPr="007B3714">
        <w:t xml:space="preserve">Furthermore, </w:t>
      </w:r>
      <w:r w:rsidR="00A415D8" w:rsidRPr="007B3714">
        <w:t xml:space="preserve">the most recent </w:t>
      </w:r>
      <w:r w:rsidR="00E31AA0" w:rsidRPr="007B3714">
        <w:t>conflict</w:t>
      </w:r>
      <w:r w:rsidR="00E92411" w:rsidRPr="007B3714">
        <w:t xml:space="preserve"> in Europe </w:t>
      </w:r>
      <w:r w:rsidR="00914BD7" w:rsidRPr="007B3714">
        <w:t>between Russia and Ukraine tremendously exacerbates</w:t>
      </w:r>
      <w:r w:rsidR="00971986" w:rsidRPr="007B3714">
        <w:t xml:space="preserve"> the problem. </w:t>
      </w:r>
      <w:r w:rsidR="00914BD7" w:rsidRPr="007B3714">
        <w:t>Many n</w:t>
      </w:r>
      <w:r w:rsidR="00EF5ADE" w:rsidRPr="007B3714">
        <w:t xml:space="preserve">ations in the EU have </w:t>
      </w:r>
      <w:r w:rsidR="00E4310D" w:rsidRPr="007B3714">
        <w:t xml:space="preserve">a sizeable </w:t>
      </w:r>
      <w:r w:rsidR="00EF5ADE" w:rsidRPr="007B3714">
        <w:t>Natural Gas dependency on Russia</w:t>
      </w:r>
      <w:r w:rsidR="00797BA9" w:rsidRPr="007B3714">
        <w:t xml:space="preserve">, namely Germany, </w:t>
      </w:r>
      <w:proofErr w:type="gramStart"/>
      <w:r w:rsidR="00797BA9" w:rsidRPr="007B3714">
        <w:t>Italy</w:t>
      </w:r>
      <w:proofErr w:type="gramEnd"/>
      <w:r w:rsidR="00797BA9" w:rsidRPr="007B3714">
        <w:t xml:space="preserve"> and France. </w:t>
      </w:r>
      <w:r w:rsidR="00AB7473" w:rsidRPr="007B3714">
        <w:t>Therefore, this study is to find out the situation and dependence of the UK on natural gas energy</w:t>
      </w:r>
      <w:r w:rsidR="00E23153">
        <w:t>, demonstrating using</w:t>
      </w:r>
      <w:r w:rsidR="00FD201B">
        <w:t xml:space="preserve"> </w:t>
      </w:r>
      <w:r w:rsidR="00E23153">
        <w:t xml:space="preserve">Information </w:t>
      </w:r>
      <w:r w:rsidR="00FD201B">
        <w:t xml:space="preserve">Visualisation </w:t>
      </w:r>
      <w:r w:rsidR="00E23153">
        <w:t>theories</w:t>
      </w:r>
      <w:r w:rsidR="00AB7473" w:rsidRPr="007B3714">
        <w:t>.</w:t>
      </w:r>
    </w:p>
    <w:p w14:paraId="65631D0C" w14:textId="156AD364" w:rsidR="006468F4" w:rsidRDefault="00537C21">
      <w:pPr>
        <w:pStyle w:val="Heading1"/>
        <w:spacing w:before="120"/>
      </w:pPr>
      <w:r>
        <w:t>ABSTRACT</w:t>
      </w:r>
    </w:p>
    <w:p w14:paraId="2BF55D2B" w14:textId="21E680A2" w:rsidR="00370D0D" w:rsidRPr="00370D0D" w:rsidRDefault="00370D0D" w:rsidP="00370D0D">
      <w:pPr>
        <w:pStyle w:val="Paper-Title"/>
        <w:jc w:val="both"/>
        <w:rPr>
          <w:rFonts w:ascii="Times New Roman" w:hAnsi="Times New Roman"/>
          <w:b w:val="0"/>
          <w:bCs/>
          <w:sz w:val="18"/>
          <w:szCs w:val="18"/>
        </w:rPr>
      </w:pPr>
      <w:r w:rsidRPr="00370D0D">
        <w:rPr>
          <w:rFonts w:ascii="Times New Roman" w:hAnsi="Times New Roman"/>
          <w:sz w:val="18"/>
          <w:szCs w:val="18"/>
        </w:rPr>
        <w:t xml:space="preserve">In 2021, UK gas demand rose by 5.4 per cent </w:t>
      </w:r>
      <w:r w:rsidR="00F63D61">
        <w:rPr>
          <w:rFonts w:ascii="Times New Roman" w:hAnsi="Times New Roman"/>
          <w:sz w:val="18"/>
          <w:szCs w:val="18"/>
        </w:rPr>
        <w:t>compared to</w:t>
      </w:r>
      <w:r w:rsidRPr="00370D0D">
        <w:rPr>
          <w:rFonts w:ascii="Times New Roman" w:hAnsi="Times New Roman"/>
          <w:sz w:val="18"/>
          <w:szCs w:val="18"/>
        </w:rPr>
        <w:t xml:space="preserve"> 2020</w:t>
      </w:r>
      <w:r w:rsidRPr="00370D0D">
        <w:rPr>
          <w:rFonts w:ascii="Times New Roman" w:hAnsi="Times New Roman"/>
          <w:b w:val="0"/>
          <w:bCs/>
          <w:sz w:val="18"/>
          <w:szCs w:val="18"/>
        </w:rPr>
        <w:t xml:space="preserve">, reaching 854 </w:t>
      </w:r>
      <w:proofErr w:type="spellStart"/>
      <w:r w:rsidRPr="00370D0D">
        <w:rPr>
          <w:rFonts w:ascii="Times New Roman" w:hAnsi="Times New Roman"/>
          <w:b w:val="0"/>
          <w:bCs/>
          <w:sz w:val="18"/>
          <w:szCs w:val="18"/>
        </w:rPr>
        <w:t>TWh</w:t>
      </w:r>
      <w:proofErr w:type="spellEnd"/>
      <w:r w:rsidRPr="00370D0D">
        <w:rPr>
          <w:rFonts w:ascii="Times New Roman" w:hAnsi="Times New Roman"/>
          <w:b w:val="0"/>
          <w:bCs/>
          <w:sz w:val="18"/>
          <w:szCs w:val="18"/>
        </w:rPr>
        <w:t>. This increase reflected an easing of lockdown restrictions from spring until the end of the year</w:t>
      </w:r>
      <w:r w:rsidR="00F63D61">
        <w:rPr>
          <w:rFonts w:ascii="Times New Roman" w:hAnsi="Times New Roman"/>
          <w:b w:val="0"/>
          <w:bCs/>
          <w:sz w:val="18"/>
          <w:szCs w:val="18"/>
        </w:rPr>
        <w:t>,</w:t>
      </w:r>
      <w:r w:rsidRPr="00370D0D">
        <w:rPr>
          <w:rFonts w:ascii="Times New Roman" w:hAnsi="Times New Roman"/>
          <w:b w:val="0"/>
          <w:bCs/>
          <w:sz w:val="18"/>
          <w:szCs w:val="18"/>
        </w:rPr>
        <w:t xml:space="preserve"> reduced </w:t>
      </w:r>
      <w:r w:rsidR="00F63D61">
        <w:rPr>
          <w:rFonts w:ascii="Times New Roman" w:hAnsi="Times New Roman"/>
          <w:b w:val="0"/>
          <w:bCs/>
          <w:sz w:val="18"/>
          <w:szCs w:val="18"/>
        </w:rPr>
        <w:t>renewables generation, and increased nuclear</w:t>
      </w:r>
      <w:r w:rsidRPr="00370D0D">
        <w:rPr>
          <w:rFonts w:ascii="Times New Roman" w:hAnsi="Times New Roman"/>
          <w:b w:val="0"/>
          <w:bCs/>
          <w:sz w:val="18"/>
          <w:szCs w:val="18"/>
        </w:rPr>
        <w:t xml:space="preserve"> </w:t>
      </w:r>
      <w:r w:rsidR="00C25A80">
        <w:rPr>
          <w:rFonts w:ascii="Times New Roman" w:hAnsi="Times New Roman"/>
          <w:b w:val="0"/>
          <w:bCs/>
          <w:sz w:val="18"/>
          <w:szCs w:val="18"/>
        </w:rPr>
        <w:t>d</w:t>
      </w:r>
      <w:r w:rsidRPr="00370D0D">
        <w:rPr>
          <w:rFonts w:ascii="Times New Roman" w:hAnsi="Times New Roman"/>
          <w:b w:val="0"/>
          <w:bCs/>
          <w:sz w:val="18"/>
          <w:szCs w:val="18"/>
        </w:rPr>
        <w:t xml:space="preserve">emand for electricity generation. The easing of restrictions predominantly increased </w:t>
      </w:r>
      <w:r w:rsidR="00C25A80">
        <w:rPr>
          <w:rFonts w:ascii="Times New Roman" w:hAnsi="Times New Roman"/>
          <w:b w:val="0"/>
          <w:bCs/>
          <w:sz w:val="18"/>
          <w:szCs w:val="18"/>
        </w:rPr>
        <w:t>d</w:t>
      </w:r>
      <w:r w:rsidRPr="00370D0D">
        <w:rPr>
          <w:rFonts w:ascii="Times New Roman" w:hAnsi="Times New Roman"/>
          <w:b w:val="0"/>
          <w:bCs/>
          <w:sz w:val="18"/>
          <w:szCs w:val="18"/>
        </w:rPr>
        <w:t xml:space="preserve">emand across the industrial, </w:t>
      </w:r>
      <w:proofErr w:type="gramStart"/>
      <w:r w:rsidRPr="00370D0D">
        <w:rPr>
          <w:rFonts w:ascii="Times New Roman" w:hAnsi="Times New Roman"/>
          <w:b w:val="0"/>
          <w:bCs/>
          <w:sz w:val="18"/>
          <w:szCs w:val="18"/>
        </w:rPr>
        <w:t>commercial</w:t>
      </w:r>
      <w:proofErr w:type="gramEnd"/>
      <w:r w:rsidRPr="00370D0D">
        <w:rPr>
          <w:rFonts w:ascii="Times New Roman" w:hAnsi="Times New Roman"/>
          <w:b w:val="0"/>
          <w:bCs/>
          <w:sz w:val="18"/>
          <w:szCs w:val="18"/>
        </w:rPr>
        <w:t xml:space="preserve"> and public sectors</w:t>
      </w:r>
      <w:r w:rsidR="00CD48E0">
        <w:rPr>
          <w:rFonts w:ascii="Times New Roman" w:hAnsi="Times New Roman"/>
          <w:b w:val="0"/>
          <w:bCs/>
          <w:sz w:val="18"/>
          <w:szCs w:val="18"/>
        </w:rPr>
        <w:t>.</w:t>
      </w:r>
    </w:p>
    <w:p w14:paraId="7F04082C" w14:textId="429B0063" w:rsidR="00370D0D" w:rsidRPr="00370D0D" w:rsidRDefault="00370D0D" w:rsidP="00370D0D">
      <w:pPr>
        <w:pStyle w:val="Paper-Title"/>
        <w:jc w:val="both"/>
        <w:rPr>
          <w:rFonts w:ascii="Times New Roman" w:hAnsi="Times New Roman"/>
          <w:b w:val="0"/>
          <w:bCs/>
          <w:sz w:val="18"/>
          <w:szCs w:val="18"/>
        </w:rPr>
      </w:pPr>
      <w:r w:rsidRPr="00370D0D">
        <w:rPr>
          <w:rFonts w:ascii="Times New Roman" w:hAnsi="Times New Roman"/>
          <w:sz w:val="18"/>
          <w:szCs w:val="18"/>
        </w:rPr>
        <w:t xml:space="preserve">Gas production reached a record low in 2021 at 363 </w:t>
      </w:r>
      <w:proofErr w:type="spellStart"/>
      <w:r w:rsidRPr="00370D0D">
        <w:rPr>
          <w:rFonts w:ascii="Times New Roman" w:hAnsi="Times New Roman"/>
          <w:sz w:val="18"/>
          <w:szCs w:val="18"/>
        </w:rPr>
        <w:t>TWh</w:t>
      </w:r>
      <w:proofErr w:type="spellEnd"/>
      <w:r w:rsidRPr="00370D0D">
        <w:rPr>
          <w:rFonts w:ascii="Times New Roman" w:hAnsi="Times New Roman"/>
          <w:b w:val="0"/>
          <w:bCs/>
          <w:sz w:val="18"/>
          <w:szCs w:val="18"/>
        </w:rPr>
        <w:t xml:space="preserve">, 47 </w:t>
      </w:r>
      <w:proofErr w:type="spellStart"/>
      <w:r w:rsidRPr="00370D0D">
        <w:rPr>
          <w:rFonts w:ascii="Times New Roman" w:hAnsi="Times New Roman"/>
          <w:b w:val="0"/>
          <w:bCs/>
          <w:sz w:val="18"/>
          <w:szCs w:val="18"/>
        </w:rPr>
        <w:t>TWh</w:t>
      </w:r>
      <w:proofErr w:type="spellEnd"/>
      <w:r w:rsidRPr="00370D0D">
        <w:rPr>
          <w:rFonts w:ascii="Times New Roman" w:hAnsi="Times New Roman"/>
          <w:b w:val="0"/>
          <w:bCs/>
          <w:sz w:val="18"/>
          <w:szCs w:val="18"/>
        </w:rPr>
        <w:t xml:space="preserve"> below the previous record low in 2013.</w:t>
      </w:r>
      <w:r w:rsidR="00F63D61">
        <w:rPr>
          <w:rFonts w:ascii="Times New Roman" w:hAnsi="Times New Roman"/>
          <w:b w:val="0"/>
          <w:bCs/>
          <w:sz w:val="18"/>
          <w:szCs w:val="18"/>
        </w:rPr>
        <w:t xml:space="preserve"> </w:t>
      </w:r>
      <w:r w:rsidRPr="00370D0D">
        <w:rPr>
          <w:rFonts w:ascii="Times New Roman" w:hAnsi="Times New Roman"/>
          <w:b w:val="0"/>
          <w:bCs/>
          <w:sz w:val="18"/>
          <w:szCs w:val="18"/>
        </w:rPr>
        <w:t xml:space="preserve">This was a 17 per cent fall </w:t>
      </w:r>
      <w:r w:rsidR="00F63D61">
        <w:rPr>
          <w:rFonts w:ascii="Times New Roman" w:hAnsi="Times New Roman"/>
          <w:b w:val="0"/>
          <w:bCs/>
          <w:sz w:val="18"/>
          <w:szCs w:val="18"/>
        </w:rPr>
        <w:t>compared to</w:t>
      </w:r>
      <w:r w:rsidRPr="00370D0D">
        <w:rPr>
          <w:rFonts w:ascii="Times New Roman" w:hAnsi="Times New Roman"/>
          <w:b w:val="0"/>
          <w:bCs/>
          <w:sz w:val="18"/>
          <w:szCs w:val="18"/>
        </w:rPr>
        <w:t xml:space="preserve"> 2020 and was </w:t>
      </w:r>
      <w:r w:rsidR="00C25A80">
        <w:rPr>
          <w:rFonts w:ascii="Times New Roman" w:hAnsi="Times New Roman"/>
          <w:b w:val="0"/>
          <w:bCs/>
          <w:sz w:val="18"/>
          <w:szCs w:val="18"/>
        </w:rPr>
        <w:t>primari</w:t>
      </w:r>
      <w:r w:rsidRPr="00370D0D">
        <w:rPr>
          <w:rFonts w:ascii="Times New Roman" w:hAnsi="Times New Roman"/>
          <w:b w:val="0"/>
          <w:bCs/>
          <w:sz w:val="18"/>
          <w:szCs w:val="18"/>
        </w:rPr>
        <w:t>ly the result of scheduled maintenance</w:t>
      </w:r>
      <w:r w:rsidR="00C25A80">
        <w:rPr>
          <w:rFonts w:ascii="Times New Roman" w:hAnsi="Times New Roman"/>
          <w:b w:val="0"/>
          <w:bCs/>
          <w:sz w:val="18"/>
          <w:szCs w:val="18"/>
        </w:rPr>
        <w:t>,</w:t>
      </w:r>
      <w:r w:rsidRPr="00370D0D">
        <w:rPr>
          <w:rFonts w:ascii="Times New Roman" w:hAnsi="Times New Roman"/>
          <w:b w:val="0"/>
          <w:bCs/>
          <w:sz w:val="18"/>
          <w:szCs w:val="18"/>
        </w:rPr>
        <w:t xml:space="preserve"> including a shutdown of the Forties Pipeline System (FPS) which serves a significant proportion of UK oil and gas production. To meet </w:t>
      </w:r>
      <w:r w:rsidR="00C25A80">
        <w:rPr>
          <w:rFonts w:ascii="Times New Roman" w:hAnsi="Times New Roman"/>
          <w:b w:val="0"/>
          <w:bCs/>
          <w:sz w:val="18"/>
          <w:szCs w:val="18"/>
        </w:rPr>
        <w:t>d</w:t>
      </w:r>
      <w:r w:rsidRPr="00370D0D">
        <w:rPr>
          <w:rFonts w:ascii="Times New Roman" w:hAnsi="Times New Roman"/>
          <w:b w:val="0"/>
          <w:bCs/>
          <w:sz w:val="18"/>
          <w:szCs w:val="18"/>
        </w:rPr>
        <w:t xml:space="preserve">emand, imports of natural gas increased by 17 per cent, and exports fell by 29 per cent to the lowest level since 1998. This resulted in a 30 per cent increase </w:t>
      </w:r>
      <w:r w:rsidR="00C25A80">
        <w:rPr>
          <w:rFonts w:ascii="Times New Roman" w:hAnsi="Times New Roman"/>
          <w:b w:val="0"/>
          <w:bCs/>
          <w:sz w:val="18"/>
          <w:szCs w:val="18"/>
        </w:rPr>
        <w:t>in</w:t>
      </w:r>
      <w:r w:rsidRPr="00370D0D">
        <w:rPr>
          <w:rFonts w:ascii="Times New Roman" w:hAnsi="Times New Roman"/>
          <w:b w:val="0"/>
          <w:bCs/>
          <w:sz w:val="18"/>
          <w:szCs w:val="18"/>
        </w:rPr>
        <w:t xml:space="preserve"> net imports. The rise in imports was driven by increased pipeline imports, up 44 per cent; imports of Liquified Natural Gas (LNG) fell by 22 per cent. </w:t>
      </w:r>
    </w:p>
    <w:p w14:paraId="58BA70C0" w14:textId="605AA037" w:rsidR="00370D0D" w:rsidRPr="00370D0D" w:rsidRDefault="00370D0D" w:rsidP="00370D0D">
      <w:pPr>
        <w:pStyle w:val="Paper-Title"/>
        <w:jc w:val="both"/>
        <w:rPr>
          <w:rFonts w:ascii="Times New Roman" w:hAnsi="Times New Roman"/>
          <w:b w:val="0"/>
          <w:bCs/>
          <w:sz w:val="18"/>
          <w:szCs w:val="18"/>
        </w:rPr>
      </w:pPr>
      <w:r w:rsidRPr="00370D0D">
        <w:rPr>
          <w:rFonts w:ascii="Times New Roman" w:hAnsi="Times New Roman"/>
          <w:sz w:val="18"/>
          <w:szCs w:val="18"/>
        </w:rPr>
        <w:t xml:space="preserve">Quarter 4 2021 saw a 6.3 per cent fall in </w:t>
      </w:r>
      <w:r w:rsidR="00C25A80">
        <w:rPr>
          <w:rFonts w:ascii="Times New Roman" w:hAnsi="Times New Roman"/>
          <w:sz w:val="18"/>
          <w:szCs w:val="18"/>
        </w:rPr>
        <w:t>d</w:t>
      </w:r>
      <w:r w:rsidRPr="00370D0D">
        <w:rPr>
          <w:rFonts w:ascii="Times New Roman" w:hAnsi="Times New Roman"/>
          <w:sz w:val="18"/>
          <w:szCs w:val="18"/>
        </w:rPr>
        <w:t>emand for natural gas</w:t>
      </w:r>
      <w:r w:rsidR="008407AB">
        <w:rPr>
          <w:rFonts w:ascii="Times New Roman" w:hAnsi="Times New Roman"/>
          <w:b w:val="0"/>
          <w:bCs/>
          <w:sz w:val="18"/>
          <w:szCs w:val="18"/>
        </w:rPr>
        <w:t xml:space="preserve"> compared</w:t>
      </w:r>
      <w:r w:rsidRPr="00370D0D">
        <w:rPr>
          <w:rFonts w:ascii="Times New Roman" w:hAnsi="Times New Roman"/>
          <w:b w:val="0"/>
          <w:bCs/>
          <w:sz w:val="18"/>
          <w:szCs w:val="18"/>
        </w:rPr>
        <w:t xml:space="preserve"> with Quarter 4 2020. This was due to reduced </w:t>
      </w:r>
      <w:r w:rsidR="00C25A80">
        <w:rPr>
          <w:rFonts w:ascii="Times New Roman" w:hAnsi="Times New Roman"/>
          <w:b w:val="0"/>
          <w:bCs/>
          <w:sz w:val="18"/>
          <w:szCs w:val="18"/>
        </w:rPr>
        <w:t>d</w:t>
      </w:r>
      <w:r w:rsidRPr="00370D0D">
        <w:rPr>
          <w:rFonts w:ascii="Times New Roman" w:hAnsi="Times New Roman"/>
          <w:b w:val="0"/>
          <w:bCs/>
          <w:sz w:val="18"/>
          <w:szCs w:val="18"/>
        </w:rPr>
        <w:t>emand for electricity generation</w:t>
      </w:r>
      <w:r w:rsidR="008407AB">
        <w:rPr>
          <w:rFonts w:ascii="Times New Roman" w:hAnsi="Times New Roman"/>
          <w:b w:val="0"/>
          <w:bCs/>
          <w:sz w:val="18"/>
          <w:szCs w:val="18"/>
        </w:rPr>
        <w:t xml:space="preserve"> and</w:t>
      </w:r>
      <w:r w:rsidRPr="00370D0D">
        <w:rPr>
          <w:rFonts w:ascii="Times New Roman" w:hAnsi="Times New Roman"/>
          <w:b w:val="0"/>
          <w:bCs/>
          <w:sz w:val="18"/>
          <w:szCs w:val="18"/>
        </w:rPr>
        <w:t xml:space="preserve"> warmer quarterly temperatures reducing domestic </w:t>
      </w:r>
      <w:r w:rsidR="00C25A80">
        <w:rPr>
          <w:rFonts w:ascii="Times New Roman" w:hAnsi="Times New Roman"/>
          <w:b w:val="0"/>
          <w:bCs/>
          <w:sz w:val="18"/>
          <w:szCs w:val="18"/>
        </w:rPr>
        <w:t>d</w:t>
      </w:r>
      <w:r w:rsidRPr="00370D0D">
        <w:rPr>
          <w:rFonts w:ascii="Times New Roman" w:hAnsi="Times New Roman"/>
          <w:b w:val="0"/>
          <w:bCs/>
          <w:sz w:val="18"/>
          <w:szCs w:val="18"/>
        </w:rPr>
        <w:t>emand. Production continued to increase from the summer lows but was down 1.7 per cent on the same period in the previous year. Net imports fell 17 per cent in Quarter 4 2021, primarily due to significant exports in October. Imports of LNG remained substantial but were down 5.5 per cent compared with Quarter 4 2020.</w:t>
      </w:r>
      <w:bookmarkStart w:id="0" w:name="_Hlk103427319"/>
    </w:p>
    <w:bookmarkEnd w:id="0"/>
    <w:p w14:paraId="48B11EB7" w14:textId="47350D26" w:rsidR="00575FB5" w:rsidRDefault="00FE116A">
      <w:pPr>
        <w:pStyle w:val="Heading1"/>
        <w:spacing w:before="120"/>
      </w:pPr>
      <w:r>
        <w:t xml:space="preserve">UK GAS CONSUMPTION </w:t>
      </w:r>
      <w:r w:rsidR="009B2F48">
        <w:t>COMPARED TO THE EUROPE</w:t>
      </w:r>
    </w:p>
    <w:p w14:paraId="3D17F908" w14:textId="15B7EAB8" w:rsidR="009B2F48" w:rsidRDefault="009B2F48" w:rsidP="009B2F48">
      <w:pPr>
        <w:pStyle w:val="Heading2"/>
        <w:spacing w:before="0"/>
      </w:pPr>
      <w:r>
        <w:t>Data Analyse</w:t>
      </w:r>
    </w:p>
    <w:p w14:paraId="4BB44F4A" w14:textId="6796B6CB" w:rsidR="009B2F48" w:rsidRDefault="00193DAF" w:rsidP="009B2F48">
      <w:r>
        <w:t>As in the Dataset</w:t>
      </w:r>
      <w:r w:rsidR="00363D3E">
        <w:t xml:space="preserve">, </w:t>
      </w:r>
      <w:r w:rsidR="00284A68">
        <w:t>Russia</w:t>
      </w:r>
      <w:r w:rsidR="00EF35E4">
        <w:t>’</w:t>
      </w:r>
      <w:r w:rsidR="00284A68">
        <w:t>s natural gas consumption figure</w:t>
      </w:r>
      <w:r w:rsidR="00363D3E">
        <w:t xml:space="preserve"> </w:t>
      </w:r>
      <w:r w:rsidR="00284A68">
        <w:t xml:space="preserve">equals </w:t>
      </w:r>
      <w:r w:rsidR="00CF751F">
        <w:t>all the EU combined</w:t>
      </w:r>
      <w:r w:rsidR="00D87109">
        <w:t xml:space="preserve">. Therefore, to not </w:t>
      </w:r>
      <w:r w:rsidR="00284A68">
        <w:t xml:space="preserve">diluted the </w:t>
      </w:r>
      <w:r w:rsidR="004162EC">
        <w:t>visualisation, I eliminated Russia to compare the UK with the EU’s nations only</w:t>
      </w:r>
      <w:r w:rsidR="00EF35E4">
        <w:t>.</w:t>
      </w:r>
      <w:r w:rsidR="000F10CD">
        <w:t xml:space="preserve"> </w:t>
      </w:r>
    </w:p>
    <w:p w14:paraId="02809E0E" w14:textId="5F8C1544" w:rsidR="000F10CD" w:rsidRDefault="00D128BD" w:rsidP="009B2F48">
      <w:r>
        <w:t xml:space="preserve">The </w:t>
      </w:r>
      <w:r w:rsidR="007B01D6">
        <w:t>UK</w:t>
      </w:r>
      <w:r w:rsidR="0090173A">
        <w:t xml:space="preserve"> </w:t>
      </w:r>
      <w:r w:rsidR="00F91436">
        <w:t>has become</w:t>
      </w:r>
      <w:r w:rsidR="0090173A">
        <w:t xml:space="preserve"> the </w:t>
      </w:r>
      <w:r>
        <w:t>highest</w:t>
      </w:r>
      <w:r w:rsidR="0090173A">
        <w:t xml:space="preserve"> </w:t>
      </w:r>
      <w:r>
        <w:t xml:space="preserve">gas consumption </w:t>
      </w:r>
      <w:r w:rsidR="0090173A">
        <w:t xml:space="preserve">country in </w:t>
      </w:r>
      <w:r>
        <w:t xml:space="preserve">Europe </w:t>
      </w:r>
      <w:r w:rsidR="001E0B94">
        <w:t>since 1997</w:t>
      </w:r>
      <w:r w:rsidR="00F91436">
        <w:t>. Germany then overtook this position in 2011 until now</w:t>
      </w:r>
      <w:r w:rsidR="00DA0574">
        <w:t>, making the UK placed 2</w:t>
      </w:r>
      <w:r w:rsidR="00DA0574" w:rsidRPr="00DA0574">
        <w:rPr>
          <w:vertAlign w:val="superscript"/>
        </w:rPr>
        <w:t>nd</w:t>
      </w:r>
      <w:r w:rsidR="00DA0574">
        <w:t xml:space="preserve"> in Europe</w:t>
      </w:r>
      <w:r w:rsidR="00EF22AC">
        <w:t xml:space="preserve"> in gas consumption.</w:t>
      </w:r>
    </w:p>
    <w:p w14:paraId="1C18B6B5" w14:textId="7B2611E5" w:rsidR="00CD48E0" w:rsidRDefault="00CD48E0" w:rsidP="009B2F48"/>
    <w:p w14:paraId="7E897DB7" w14:textId="7BA8DBAC" w:rsidR="00CD48E0" w:rsidRDefault="00CD48E0" w:rsidP="009B2F48"/>
    <w:p w14:paraId="180061FA" w14:textId="61BB7D79" w:rsidR="00CD48E0" w:rsidRDefault="00CD48E0" w:rsidP="009B2F48"/>
    <w:p w14:paraId="70C97A00" w14:textId="7C5A332E" w:rsidR="00CD48E0" w:rsidRDefault="00CD48E0" w:rsidP="009B2F48"/>
    <w:p w14:paraId="2B6A5C2E" w14:textId="2A5F1CEA" w:rsidR="00CD48E0" w:rsidRDefault="00CD48E0" w:rsidP="009B2F48"/>
    <w:p w14:paraId="1DE50C6F" w14:textId="77777777" w:rsidR="00CD48E0" w:rsidRDefault="00CD48E0" w:rsidP="009B2F48"/>
    <w:p w14:paraId="0E5ABDD8" w14:textId="2AE124EF" w:rsidR="00CD48E0" w:rsidRPr="00CD48E0" w:rsidRDefault="00753318" w:rsidP="00CD48E0">
      <w:pPr>
        <w:jc w:val="center"/>
        <w:rPr>
          <w:b/>
          <w:bCs/>
        </w:rPr>
      </w:pPr>
      <w:r>
        <w:rPr>
          <w:noProof/>
        </w:rPr>
        <w:pict w14:anchorId="61990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6pt;margin-top:17.1pt;width:218.6pt;height:154.05pt;z-index:1;mso-position-horizontal-relative:text;mso-position-vertical-relative:text;mso-width-relative:page;mso-height-relative:page">
            <v:imagedata r:id="rId9" o:title="gas-consumption-by-country"/>
            <w10:wrap type="topAndBottom"/>
          </v:shape>
        </w:pict>
      </w:r>
      <w:r w:rsidR="00552133" w:rsidRPr="000F10CD">
        <w:rPr>
          <w:b/>
          <w:bCs/>
        </w:rPr>
        <w:t>Figure 1.</w:t>
      </w:r>
      <w:r w:rsidR="00552133">
        <w:rPr>
          <w:b/>
          <w:bCs/>
        </w:rPr>
        <w:t xml:space="preserve"> Gas consumption of Europe countries</w:t>
      </w:r>
    </w:p>
    <w:p w14:paraId="1F26A14E" w14:textId="49691483" w:rsidR="009B2F48" w:rsidRPr="00942735" w:rsidRDefault="009B2F48" w:rsidP="009B2F48">
      <w:pPr>
        <w:pStyle w:val="Heading2"/>
        <w:spacing w:before="120"/>
      </w:pPr>
      <w:r w:rsidRPr="00942735">
        <w:t xml:space="preserve">Visualise Solution </w:t>
      </w:r>
    </w:p>
    <w:p w14:paraId="4616F527" w14:textId="1BEBA9CE" w:rsidR="009B2F48" w:rsidRPr="009B2F48" w:rsidRDefault="00EF22AC" w:rsidP="009B2F48">
      <w:r>
        <w:t xml:space="preserve">I could use a basic line graph </w:t>
      </w:r>
      <w:r w:rsidR="000D6A3A">
        <w:t>like in the data source</w:t>
      </w:r>
      <w:r w:rsidR="00054174">
        <w:t>;</w:t>
      </w:r>
      <w:r w:rsidR="000D6A3A">
        <w:t xml:space="preserve"> however, I want to add more intuitive to the data, where the audience could </w:t>
      </w:r>
      <w:r w:rsidR="00A41836">
        <w:t xml:space="preserve">see the actual location of the countries. Therefore, for this dataset, I choose to illustrate by maps graph with the help of </w:t>
      </w:r>
      <w:r w:rsidR="00054174">
        <w:t xml:space="preserve">a </w:t>
      </w:r>
      <w:r w:rsidR="00A41836">
        <w:t>time</w:t>
      </w:r>
      <w:r w:rsidR="00054174">
        <w:t xml:space="preserve"> running slider to see the changes throughout the years.</w:t>
      </w:r>
    </w:p>
    <w:p w14:paraId="0A841851" w14:textId="62ED67B9" w:rsidR="006468F4" w:rsidRPr="005C2399" w:rsidRDefault="001A6119">
      <w:pPr>
        <w:pStyle w:val="Heading1"/>
        <w:spacing w:before="120"/>
      </w:pPr>
      <w:r w:rsidRPr="005C2399">
        <w:t xml:space="preserve">UK </w:t>
      </w:r>
      <w:r w:rsidR="005C2399">
        <w:t>DEMAND FOR NATURAL GAS</w:t>
      </w:r>
    </w:p>
    <w:p w14:paraId="08A59D97" w14:textId="509E8087" w:rsidR="006468F4" w:rsidRDefault="001A6119">
      <w:pPr>
        <w:pStyle w:val="Heading2"/>
        <w:spacing w:before="0"/>
      </w:pPr>
      <w:r>
        <w:t>Data Analyse</w:t>
      </w:r>
    </w:p>
    <w:p w14:paraId="483D6E0C" w14:textId="147FE4A5" w:rsidR="009729F8" w:rsidRPr="00942735" w:rsidRDefault="009729F8" w:rsidP="009729F8">
      <w:pPr>
        <w:pStyle w:val="Paper-Title"/>
        <w:jc w:val="both"/>
        <w:rPr>
          <w:rFonts w:ascii="Times New Roman" w:hAnsi="Times New Roman"/>
          <w:b w:val="0"/>
          <w:bCs/>
          <w:sz w:val="18"/>
          <w:szCs w:val="18"/>
        </w:rPr>
      </w:pPr>
      <w:r w:rsidRPr="00942735">
        <w:rPr>
          <w:rFonts w:ascii="Times New Roman" w:hAnsi="Times New Roman"/>
          <w:sz w:val="18"/>
          <w:szCs w:val="18"/>
        </w:rPr>
        <w:t xml:space="preserve">Domestic </w:t>
      </w:r>
      <w:r w:rsidR="00C25A80">
        <w:rPr>
          <w:rFonts w:ascii="Times New Roman" w:hAnsi="Times New Roman"/>
          <w:sz w:val="18"/>
          <w:szCs w:val="18"/>
        </w:rPr>
        <w:t>d</w:t>
      </w:r>
      <w:r w:rsidRPr="00942735">
        <w:rPr>
          <w:rFonts w:ascii="Times New Roman" w:hAnsi="Times New Roman"/>
          <w:sz w:val="18"/>
          <w:szCs w:val="18"/>
        </w:rPr>
        <w:t xml:space="preserve">emand increased in 2021, up by 6.2 per cent </w:t>
      </w:r>
      <w:r w:rsidR="008407AB">
        <w:rPr>
          <w:rFonts w:ascii="Times New Roman" w:hAnsi="Times New Roman"/>
          <w:sz w:val="18"/>
          <w:szCs w:val="18"/>
        </w:rPr>
        <w:t>compared to</w:t>
      </w:r>
      <w:r w:rsidRPr="00942735">
        <w:rPr>
          <w:rFonts w:ascii="Times New Roman" w:hAnsi="Times New Roman"/>
          <w:sz w:val="18"/>
          <w:szCs w:val="18"/>
        </w:rPr>
        <w:t xml:space="preserve"> the previous year.</w:t>
      </w:r>
      <w:r w:rsidRPr="00942735">
        <w:rPr>
          <w:rFonts w:ascii="Times New Roman" w:hAnsi="Times New Roman"/>
          <w:b w:val="0"/>
          <w:bCs/>
          <w:sz w:val="18"/>
          <w:szCs w:val="18"/>
        </w:rPr>
        <w:t xml:space="preserve"> This was due to colder average temperatures in the first half of the year, coinciding with lockdown restrictions which led households to spend more time at home. Demand for gas used for electricity generation was up by </w:t>
      </w:r>
      <w:r w:rsidR="00153B3A">
        <w:rPr>
          <w:rFonts w:ascii="Times New Roman" w:hAnsi="Times New Roman"/>
          <w:b w:val="0"/>
          <w:bCs/>
          <w:sz w:val="18"/>
          <w:szCs w:val="18"/>
        </w:rPr>
        <w:t>9</w:t>
      </w:r>
      <w:r w:rsidRPr="00942735">
        <w:rPr>
          <w:rFonts w:ascii="Times New Roman" w:hAnsi="Times New Roman"/>
          <w:b w:val="0"/>
          <w:bCs/>
          <w:sz w:val="18"/>
          <w:szCs w:val="18"/>
        </w:rPr>
        <w:t xml:space="preserve"> per cent in 2021, </w:t>
      </w:r>
      <w:r w:rsidR="008407AB">
        <w:rPr>
          <w:rFonts w:ascii="Times New Roman" w:hAnsi="Times New Roman"/>
          <w:b w:val="0"/>
          <w:bCs/>
          <w:sz w:val="18"/>
          <w:szCs w:val="18"/>
        </w:rPr>
        <w:t>resulting in</w:t>
      </w:r>
      <w:r w:rsidRPr="00942735">
        <w:rPr>
          <w:rFonts w:ascii="Times New Roman" w:hAnsi="Times New Roman"/>
          <w:b w:val="0"/>
          <w:bCs/>
          <w:sz w:val="18"/>
          <w:szCs w:val="18"/>
        </w:rPr>
        <w:t xml:space="preserve"> reduced renewable and nuclear output.</w:t>
      </w:r>
    </w:p>
    <w:p w14:paraId="34FC84E0" w14:textId="7E720CC0" w:rsidR="00EE5E03" w:rsidRPr="00284A68" w:rsidRDefault="009729F8" w:rsidP="00284A68">
      <w:pPr>
        <w:pStyle w:val="Paper-Title"/>
        <w:jc w:val="both"/>
        <w:rPr>
          <w:rFonts w:ascii="Times New Roman" w:hAnsi="Times New Roman"/>
          <w:b w:val="0"/>
          <w:bCs/>
          <w:sz w:val="18"/>
          <w:szCs w:val="18"/>
        </w:rPr>
      </w:pPr>
      <w:r w:rsidRPr="00942735">
        <w:rPr>
          <w:rFonts w:ascii="Times New Roman" w:hAnsi="Times New Roman"/>
          <w:sz w:val="18"/>
          <w:szCs w:val="18"/>
        </w:rPr>
        <w:t xml:space="preserve">In Quarter 4 2021, </w:t>
      </w:r>
      <w:r w:rsidR="00C25A80">
        <w:rPr>
          <w:rFonts w:ascii="Times New Roman" w:hAnsi="Times New Roman"/>
          <w:sz w:val="18"/>
          <w:szCs w:val="18"/>
        </w:rPr>
        <w:t>d</w:t>
      </w:r>
      <w:r w:rsidRPr="00942735">
        <w:rPr>
          <w:rFonts w:ascii="Times New Roman" w:hAnsi="Times New Roman"/>
          <w:sz w:val="18"/>
          <w:szCs w:val="18"/>
        </w:rPr>
        <w:t xml:space="preserve">emand for natural gas fell by 6.3 per cent </w:t>
      </w:r>
      <w:r w:rsidR="008407AB">
        <w:rPr>
          <w:rFonts w:ascii="Times New Roman" w:hAnsi="Times New Roman"/>
          <w:sz w:val="18"/>
          <w:szCs w:val="18"/>
        </w:rPr>
        <w:t>compared to</w:t>
      </w:r>
      <w:r w:rsidRPr="00942735">
        <w:rPr>
          <w:rFonts w:ascii="Times New Roman" w:hAnsi="Times New Roman"/>
          <w:sz w:val="18"/>
          <w:szCs w:val="18"/>
        </w:rPr>
        <w:t xml:space="preserve"> Quarter 4 2020</w:t>
      </w:r>
      <w:r w:rsidRPr="00942735">
        <w:rPr>
          <w:rFonts w:ascii="Times New Roman" w:hAnsi="Times New Roman"/>
          <w:b w:val="0"/>
          <w:bCs/>
          <w:sz w:val="18"/>
          <w:szCs w:val="18"/>
        </w:rPr>
        <w:t xml:space="preserve">. This was driven by warm temperatures, leading to an 8.7 per cent fall in domestic </w:t>
      </w:r>
      <w:r w:rsidR="00C25A80">
        <w:rPr>
          <w:rFonts w:ascii="Times New Roman" w:hAnsi="Times New Roman"/>
          <w:b w:val="0"/>
          <w:bCs/>
          <w:sz w:val="18"/>
          <w:szCs w:val="18"/>
        </w:rPr>
        <w:t>d</w:t>
      </w:r>
      <w:r w:rsidRPr="00942735">
        <w:rPr>
          <w:rFonts w:ascii="Times New Roman" w:hAnsi="Times New Roman"/>
          <w:b w:val="0"/>
          <w:bCs/>
          <w:sz w:val="18"/>
          <w:szCs w:val="18"/>
        </w:rPr>
        <w:t>emand. Gas demand for electricity generation also fell, down 3.9 per cent compared with Quarter 4 2020, due to increased output from renewable sources.</w:t>
      </w:r>
    </w:p>
    <w:p w14:paraId="597F8681" w14:textId="1E79A79A" w:rsidR="00EC2B0E" w:rsidRDefault="00EC2B0E" w:rsidP="00EC2B0E">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005A4B8E">
        <w:t xml:space="preserve">Percentage changes in </w:t>
      </w:r>
      <w:r w:rsidR="00C25A80">
        <w:t>d</w:t>
      </w:r>
      <w:r w:rsidR="005A4B8E">
        <w:t>emand</w:t>
      </w:r>
    </w:p>
    <w:tbl>
      <w:tblPr>
        <w:tblW w:w="46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819"/>
        <w:gridCol w:w="850"/>
        <w:gridCol w:w="978"/>
        <w:gridCol w:w="838"/>
        <w:gridCol w:w="639"/>
      </w:tblGrid>
      <w:tr w:rsidR="00C10BC4" w:rsidRPr="00C10BC4" w14:paraId="68236D08" w14:textId="77777777" w:rsidTr="005D0DEB">
        <w:tc>
          <w:tcPr>
            <w:tcW w:w="554" w:type="dxa"/>
            <w:shd w:val="clear" w:color="auto" w:fill="auto"/>
            <w:vAlign w:val="center"/>
          </w:tcPr>
          <w:p w14:paraId="455F76BF" w14:textId="19AC5757" w:rsidR="000D139F" w:rsidRPr="00C10BC4" w:rsidRDefault="000D139F" w:rsidP="00E437D1">
            <w:pPr>
              <w:pStyle w:val="Paper-Title"/>
              <w:rPr>
                <w:rFonts w:ascii="Times New Roman" w:hAnsi="Times New Roman"/>
                <w:sz w:val="20"/>
              </w:rPr>
            </w:pPr>
          </w:p>
        </w:tc>
        <w:tc>
          <w:tcPr>
            <w:tcW w:w="819" w:type="dxa"/>
            <w:shd w:val="clear" w:color="auto" w:fill="auto"/>
          </w:tcPr>
          <w:p w14:paraId="79868D9E" w14:textId="40252A44" w:rsidR="000D139F" w:rsidRPr="00C10BC4" w:rsidRDefault="000D139F" w:rsidP="00E437D1">
            <w:pPr>
              <w:pStyle w:val="Paper-Title"/>
              <w:rPr>
                <w:rFonts w:ascii="Times New Roman" w:hAnsi="Times New Roman"/>
                <w:sz w:val="16"/>
                <w:szCs w:val="16"/>
              </w:rPr>
            </w:pPr>
            <w:r w:rsidRPr="00C10BC4">
              <w:rPr>
                <w:rFonts w:ascii="Times New Roman" w:hAnsi="Times New Roman"/>
                <w:sz w:val="16"/>
                <w:szCs w:val="16"/>
              </w:rPr>
              <w:t xml:space="preserve">Total </w:t>
            </w:r>
            <w:r w:rsidR="00D85337" w:rsidRPr="00C10BC4">
              <w:rPr>
                <w:rFonts w:ascii="Times New Roman" w:hAnsi="Times New Roman"/>
                <w:sz w:val="16"/>
                <w:szCs w:val="16"/>
              </w:rPr>
              <w:t>Demand</w:t>
            </w:r>
          </w:p>
        </w:tc>
        <w:tc>
          <w:tcPr>
            <w:tcW w:w="850" w:type="dxa"/>
            <w:shd w:val="clear" w:color="auto" w:fill="auto"/>
            <w:vAlign w:val="center"/>
          </w:tcPr>
          <w:p w14:paraId="7A5B483D" w14:textId="3AE18A61" w:rsidR="000D139F" w:rsidRPr="00C10BC4" w:rsidRDefault="000D139F" w:rsidP="00E437D1">
            <w:pPr>
              <w:pStyle w:val="Paper-Title"/>
              <w:rPr>
                <w:rFonts w:ascii="Times New Roman" w:hAnsi="Times New Roman"/>
                <w:sz w:val="16"/>
                <w:szCs w:val="16"/>
              </w:rPr>
            </w:pPr>
            <w:r w:rsidRPr="00C10BC4">
              <w:rPr>
                <w:rFonts w:ascii="Times New Roman" w:hAnsi="Times New Roman"/>
                <w:sz w:val="16"/>
                <w:szCs w:val="16"/>
              </w:rPr>
              <w:t>Domestic</w:t>
            </w:r>
          </w:p>
        </w:tc>
        <w:tc>
          <w:tcPr>
            <w:tcW w:w="978" w:type="dxa"/>
            <w:shd w:val="clear" w:color="auto" w:fill="auto"/>
            <w:vAlign w:val="center"/>
          </w:tcPr>
          <w:p w14:paraId="1AEF379C" w14:textId="6F09DE3B" w:rsidR="000D139F" w:rsidRPr="00C10BC4" w:rsidRDefault="000D139F" w:rsidP="00E437D1">
            <w:pPr>
              <w:pStyle w:val="Paper-Title"/>
              <w:rPr>
                <w:rFonts w:ascii="Times New Roman" w:hAnsi="Times New Roman"/>
                <w:sz w:val="16"/>
                <w:szCs w:val="16"/>
              </w:rPr>
            </w:pPr>
            <w:r w:rsidRPr="00C10BC4">
              <w:rPr>
                <w:rFonts w:ascii="Times New Roman" w:hAnsi="Times New Roman"/>
                <w:sz w:val="16"/>
                <w:szCs w:val="16"/>
              </w:rPr>
              <w:t>Energy generation</w:t>
            </w:r>
          </w:p>
        </w:tc>
        <w:tc>
          <w:tcPr>
            <w:tcW w:w="838" w:type="dxa"/>
            <w:shd w:val="clear" w:color="auto" w:fill="auto"/>
            <w:vAlign w:val="center"/>
          </w:tcPr>
          <w:p w14:paraId="6635216E" w14:textId="461A30A0" w:rsidR="000D139F" w:rsidRPr="00C10BC4" w:rsidRDefault="000D139F" w:rsidP="00E437D1">
            <w:pPr>
              <w:pStyle w:val="Paper-Title"/>
              <w:rPr>
                <w:rFonts w:ascii="Times New Roman" w:hAnsi="Times New Roman"/>
                <w:sz w:val="16"/>
                <w:szCs w:val="16"/>
              </w:rPr>
            </w:pPr>
            <w:r w:rsidRPr="00C10BC4">
              <w:rPr>
                <w:rFonts w:ascii="Times New Roman" w:hAnsi="Times New Roman"/>
                <w:sz w:val="16"/>
                <w:szCs w:val="16"/>
              </w:rPr>
              <w:t>Industry</w:t>
            </w:r>
          </w:p>
        </w:tc>
        <w:tc>
          <w:tcPr>
            <w:tcW w:w="639" w:type="dxa"/>
            <w:shd w:val="clear" w:color="auto" w:fill="auto"/>
            <w:vAlign w:val="center"/>
          </w:tcPr>
          <w:p w14:paraId="1F5056EC" w14:textId="1DE457EA" w:rsidR="000D139F" w:rsidRPr="00C10BC4" w:rsidRDefault="000D139F" w:rsidP="00E437D1">
            <w:pPr>
              <w:pStyle w:val="Paper-Title"/>
              <w:rPr>
                <w:rFonts w:ascii="Times New Roman" w:hAnsi="Times New Roman"/>
                <w:sz w:val="16"/>
                <w:szCs w:val="16"/>
              </w:rPr>
            </w:pPr>
            <w:r w:rsidRPr="00C10BC4">
              <w:rPr>
                <w:rFonts w:ascii="Times New Roman" w:hAnsi="Times New Roman"/>
                <w:sz w:val="16"/>
                <w:szCs w:val="16"/>
              </w:rPr>
              <w:t>Other</w:t>
            </w:r>
          </w:p>
        </w:tc>
      </w:tr>
      <w:tr w:rsidR="00C10BC4" w:rsidRPr="00C10BC4" w14:paraId="45904AF7" w14:textId="77777777" w:rsidTr="005D0DEB">
        <w:trPr>
          <w:cantSplit/>
          <w:trHeight w:val="60"/>
        </w:trPr>
        <w:tc>
          <w:tcPr>
            <w:tcW w:w="554" w:type="dxa"/>
            <w:shd w:val="clear" w:color="auto" w:fill="auto"/>
            <w:vAlign w:val="center"/>
          </w:tcPr>
          <w:p w14:paraId="3DA62E3B" w14:textId="27405E29" w:rsidR="00D90447" w:rsidRPr="00C10BC4" w:rsidRDefault="00D90447" w:rsidP="00D90447">
            <w:pPr>
              <w:pStyle w:val="Paper-Title"/>
              <w:rPr>
                <w:rFonts w:ascii="Times New Roman" w:hAnsi="Times New Roman"/>
                <w:sz w:val="16"/>
                <w:szCs w:val="16"/>
              </w:rPr>
            </w:pPr>
            <w:r w:rsidRPr="00C10BC4">
              <w:rPr>
                <w:rFonts w:ascii="Times New Roman" w:hAnsi="Times New Roman"/>
                <w:sz w:val="16"/>
                <w:szCs w:val="16"/>
              </w:rPr>
              <w:t>Year</w:t>
            </w:r>
          </w:p>
        </w:tc>
        <w:tc>
          <w:tcPr>
            <w:tcW w:w="819" w:type="dxa"/>
            <w:shd w:val="clear" w:color="auto" w:fill="auto"/>
            <w:vAlign w:val="center"/>
          </w:tcPr>
          <w:p w14:paraId="76D1E817" w14:textId="156923A8" w:rsidR="00D90447" w:rsidRPr="00C10BC4" w:rsidRDefault="00D90447" w:rsidP="00C10BC4">
            <w:pPr>
              <w:spacing w:after="0"/>
              <w:jc w:val="center"/>
              <w:rPr>
                <w:b/>
                <w:bCs/>
                <w:color w:val="538135"/>
                <w:sz w:val="16"/>
                <w:szCs w:val="16"/>
              </w:rPr>
            </w:pPr>
            <w:r w:rsidRPr="00C10BC4">
              <w:rPr>
                <w:b/>
                <w:bCs/>
                <w:color w:val="538135"/>
                <w:sz w:val="16"/>
                <w:szCs w:val="16"/>
              </w:rPr>
              <w:t>5.</w:t>
            </w:r>
            <w:r w:rsidR="00A90D64" w:rsidRPr="00C10BC4">
              <w:rPr>
                <w:b/>
                <w:bCs/>
                <w:color w:val="538135"/>
                <w:sz w:val="16"/>
                <w:szCs w:val="16"/>
              </w:rPr>
              <w:t>4</w:t>
            </w:r>
            <w:r w:rsidRPr="00C10BC4">
              <w:rPr>
                <w:b/>
                <w:bCs/>
                <w:color w:val="538135"/>
                <w:sz w:val="16"/>
                <w:szCs w:val="16"/>
              </w:rPr>
              <w:t>%</w:t>
            </w:r>
          </w:p>
        </w:tc>
        <w:tc>
          <w:tcPr>
            <w:tcW w:w="850" w:type="dxa"/>
            <w:shd w:val="clear" w:color="auto" w:fill="auto"/>
            <w:vAlign w:val="center"/>
          </w:tcPr>
          <w:p w14:paraId="2B4868EC" w14:textId="2E708F00" w:rsidR="00D90447" w:rsidRPr="00C10BC4" w:rsidRDefault="00D90447" w:rsidP="00C10BC4">
            <w:pPr>
              <w:spacing w:after="0"/>
              <w:jc w:val="center"/>
              <w:rPr>
                <w:b/>
                <w:bCs/>
                <w:color w:val="538135"/>
                <w:sz w:val="16"/>
                <w:szCs w:val="16"/>
                <w:lang w:eastAsia="zh-CN"/>
              </w:rPr>
            </w:pPr>
            <w:r w:rsidRPr="00C10BC4">
              <w:rPr>
                <w:b/>
                <w:bCs/>
                <w:color w:val="538135"/>
                <w:sz w:val="16"/>
                <w:szCs w:val="16"/>
              </w:rPr>
              <w:t>6.</w:t>
            </w:r>
            <w:r w:rsidR="00A90D64" w:rsidRPr="00C10BC4">
              <w:rPr>
                <w:b/>
                <w:bCs/>
                <w:color w:val="538135"/>
                <w:sz w:val="16"/>
                <w:szCs w:val="16"/>
              </w:rPr>
              <w:t>2</w:t>
            </w:r>
            <w:r w:rsidRPr="00C10BC4">
              <w:rPr>
                <w:b/>
                <w:bCs/>
                <w:color w:val="538135"/>
                <w:sz w:val="16"/>
                <w:szCs w:val="16"/>
              </w:rPr>
              <w:t>%</w:t>
            </w:r>
          </w:p>
        </w:tc>
        <w:tc>
          <w:tcPr>
            <w:tcW w:w="978" w:type="dxa"/>
            <w:shd w:val="clear" w:color="auto" w:fill="auto"/>
            <w:vAlign w:val="center"/>
          </w:tcPr>
          <w:p w14:paraId="13EDF742" w14:textId="2BAFBF74" w:rsidR="00D90447" w:rsidRPr="00C10BC4" w:rsidRDefault="00D90447" w:rsidP="00C10BC4">
            <w:pPr>
              <w:spacing w:after="0"/>
              <w:jc w:val="center"/>
              <w:rPr>
                <w:b/>
                <w:bCs/>
                <w:color w:val="538135"/>
                <w:sz w:val="16"/>
                <w:szCs w:val="16"/>
              </w:rPr>
            </w:pPr>
            <w:r w:rsidRPr="00C10BC4">
              <w:rPr>
                <w:b/>
                <w:bCs/>
                <w:color w:val="538135"/>
                <w:sz w:val="16"/>
                <w:szCs w:val="16"/>
              </w:rPr>
              <w:t>9.0%</w:t>
            </w:r>
          </w:p>
        </w:tc>
        <w:tc>
          <w:tcPr>
            <w:tcW w:w="838" w:type="dxa"/>
            <w:shd w:val="clear" w:color="auto" w:fill="auto"/>
            <w:vAlign w:val="center"/>
          </w:tcPr>
          <w:p w14:paraId="2B336A6E" w14:textId="45552409" w:rsidR="00D90447" w:rsidRPr="00C10BC4" w:rsidRDefault="00D90447" w:rsidP="00C10BC4">
            <w:pPr>
              <w:spacing w:after="0"/>
              <w:jc w:val="center"/>
              <w:rPr>
                <w:b/>
                <w:bCs/>
                <w:color w:val="C00000"/>
                <w:sz w:val="16"/>
                <w:szCs w:val="16"/>
              </w:rPr>
            </w:pPr>
            <w:r w:rsidRPr="00C10BC4">
              <w:rPr>
                <w:b/>
                <w:bCs/>
                <w:color w:val="C00000"/>
                <w:sz w:val="16"/>
                <w:szCs w:val="16"/>
              </w:rPr>
              <w:t>-2.</w:t>
            </w:r>
            <w:r w:rsidR="00A90D64" w:rsidRPr="00C10BC4">
              <w:rPr>
                <w:b/>
                <w:bCs/>
                <w:color w:val="C00000"/>
                <w:sz w:val="16"/>
                <w:szCs w:val="16"/>
              </w:rPr>
              <w:t>6</w:t>
            </w:r>
            <w:r w:rsidRPr="00C10BC4">
              <w:rPr>
                <w:b/>
                <w:bCs/>
                <w:color w:val="C00000"/>
                <w:sz w:val="16"/>
                <w:szCs w:val="16"/>
              </w:rPr>
              <w:t>%</w:t>
            </w:r>
          </w:p>
        </w:tc>
        <w:tc>
          <w:tcPr>
            <w:tcW w:w="639" w:type="dxa"/>
            <w:shd w:val="clear" w:color="auto" w:fill="auto"/>
            <w:vAlign w:val="center"/>
          </w:tcPr>
          <w:p w14:paraId="6E86D46D" w14:textId="2DA584DF" w:rsidR="00D90447" w:rsidRPr="00C10BC4" w:rsidRDefault="00A90D64" w:rsidP="00C10BC4">
            <w:pPr>
              <w:spacing w:after="0"/>
              <w:jc w:val="center"/>
              <w:rPr>
                <w:b/>
                <w:bCs/>
                <w:color w:val="538135"/>
                <w:sz w:val="16"/>
                <w:szCs w:val="16"/>
              </w:rPr>
            </w:pPr>
            <w:r w:rsidRPr="00C10BC4">
              <w:rPr>
                <w:b/>
                <w:bCs/>
                <w:color w:val="538135"/>
                <w:sz w:val="16"/>
                <w:szCs w:val="16"/>
              </w:rPr>
              <w:t>6</w:t>
            </w:r>
            <w:r w:rsidR="00D90447" w:rsidRPr="00C10BC4">
              <w:rPr>
                <w:b/>
                <w:bCs/>
                <w:color w:val="538135"/>
                <w:sz w:val="16"/>
                <w:szCs w:val="16"/>
              </w:rPr>
              <w:t>.</w:t>
            </w:r>
            <w:r w:rsidRPr="00C10BC4">
              <w:rPr>
                <w:b/>
                <w:bCs/>
                <w:color w:val="538135"/>
                <w:sz w:val="16"/>
                <w:szCs w:val="16"/>
              </w:rPr>
              <w:t>0</w:t>
            </w:r>
            <w:r w:rsidR="00D90447" w:rsidRPr="00C10BC4">
              <w:rPr>
                <w:b/>
                <w:bCs/>
                <w:color w:val="538135"/>
                <w:sz w:val="16"/>
                <w:szCs w:val="16"/>
              </w:rPr>
              <w:t>%</w:t>
            </w:r>
          </w:p>
        </w:tc>
      </w:tr>
      <w:tr w:rsidR="00C10BC4" w:rsidRPr="00C10BC4" w14:paraId="0DEE54A8" w14:textId="77777777" w:rsidTr="005D0DEB">
        <w:trPr>
          <w:cantSplit/>
          <w:trHeight w:val="60"/>
        </w:trPr>
        <w:tc>
          <w:tcPr>
            <w:tcW w:w="554" w:type="dxa"/>
            <w:shd w:val="clear" w:color="auto" w:fill="auto"/>
            <w:vAlign w:val="center"/>
          </w:tcPr>
          <w:p w14:paraId="46AD49F3" w14:textId="2AC7788D" w:rsidR="00643FA9" w:rsidRPr="00C10BC4" w:rsidRDefault="00643FA9" w:rsidP="00643FA9">
            <w:pPr>
              <w:pStyle w:val="Paper-Title"/>
              <w:rPr>
                <w:rFonts w:ascii="Times New Roman" w:hAnsi="Times New Roman"/>
                <w:sz w:val="16"/>
                <w:szCs w:val="16"/>
              </w:rPr>
            </w:pPr>
            <w:r w:rsidRPr="00C10BC4">
              <w:rPr>
                <w:rFonts w:ascii="Times New Roman" w:hAnsi="Times New Roman"/>
                <w:sz w:val="16"/>
                <w:szCs w:val="16"/>
              </w:rPr>
              <w:t>Q4</w:t>
            </w:r>
          </w:p>
        </w:tc>
        <w:tc>
          <w:tcPr>
            <w:tcW w:w="819" w:type="dxa"/>
            <w:shd w:val="clear" w:color="auto" w:fill="auto"/>
            <w:vAlign w:val="center"/>
          </w:tcPr>
          <w:p w14:paraId="65428AD3" w14:textId="2163D4F6" w:rsidR="00643FA9" w:rsidRPr="00C10BC4" w:rsidRDefault="00643FA9" w:rsidP="00C10BC4">
            <w:pPr>
              <w:spacing w:after="0"/>
              <w:jc w:val="center"/>
              <w:rPr>
                <w:b/>
                <w:bCs/>
                <w:color w:val="538135"/>
                <w:sz w:val="16"/>
                <w:szCs w:val="16"/>
              </w:rPr>
            </w:pPr>
            <w:r w:rsidRPr="00C10BC4">
              <w:rPr>
                <w:b/>
                <w:bCs/>
                <w:color w:val="C00000"/>
                <w:sz w:val="16"/>
                <w:szCs w:val="16"/>
              </w:rPr>
              <w:t>-6.</w:t>
            </w:r>
            <w:r w:rsidR="00A90D64" w:rsidRPr="00C10BC4">
              <w:rPr>
                <w:b/>
                <w:bCs/>
                <w:color w:val="C00000"/>
                <w:sz w:val="16"/>
                <w:szCs w:val="16"/>
              </w:rPr>
              <w:t>3</w:t>
            </w:r>
            <w:r w:rsidRPr="00C10BC4">
              <w:rPr>
                <w:b/>
                <w:bCs/>
                <w:color w:val="C00000"/>
                <w:sz w:val="16"/>
                <w:szCs w:val="16"/>
              </w:rPr>
              <w:t>%</w:t>
            </w:r>
          </w:p>
        </w:tc>
        <w:tc>
          <w:tcPr>
            <w:tcW w:w="850" w:type="dxa"/>
            <w:shd w:val="clear" w:color="auto" w:fill="auto"/>
            <w:vAlign w:val="center"/>
          </w:tcPr>
          <w:p w14:paraId="00FACE11" w14:textId="7347FC87" w:rsidR="00643FA9" w:rsidRPr="00C10BC4" w:rsidRDefault="00643FA9" w:rsidP="00C10BC4">
            <w:pPr>
              <w:spacing w:after="0"/>
              <w:jc w:val="center"/>
              <w:rPr>
                <w:b/>
                <w:bCs/>
                <w:color w:val="538135"/>
                <w:sz w:val="16"/>
                <w:szCs w:val="16"/>
              </w:rPr>
            </w:pPr>
            <w:r w:rsidRPr="00C10BC4">
              <w:rPr>
                <w:b/>
                <w:bCs/>
                <w:color w:val="C00000"/>
                <w:sz w:val="16"/>
                <w:szCs w:val="16"/>
              </w:rPr>
              <w:t>-8.</w:t>
            </w:r>
            <w:r w:rsidR="00A90D64" w:rsidRPr="00C10BC4">
              <w:rPr>
                <w:b/>
                <w:bCs/>
                <w:color w:val="C00000"/>
                <w:sz w:val="16"/>
                <w:szCs w:val="16"/>
              </w:rPr>
              <w:t>7</w:t>
            </w:r>
            <w:r w:rsidRPr="00C10BC4">
              <w:rPr>
                <w:b/>
                <w:bCs/>
                <w:color w:val="C00000"/>
                <w:sz w:val="16"/>
                <w:szCs w:val="16"/>
              </w:rPr>
              <w:t>%</w:t>
            </w:r>
          </w:p>
        </w:tc>
        <w:tc>
          <w:tcPr>
            <w:tcW w:w="978" w:type="dxa"/>
            <w:shd w:val="clear" w:color="auto" w:fill="auto"/>
            <w:vAlign w:val="center"/>
          </w:tcPr>
          <w:p w14:paraId="30C00D09" w14:textId="0C63BD34" w:rsidR="00643FA9" w:rsidRPr="00C10BC4" w:rsidRDefault="00643FA9" w:rsidP="00C10BC4">
            <w:pPr>
              <w:spacing w:after="0"/>
              <w:jc w:val="center"/>
              <w:rPr>
                <w:b/>
                <w:bCs/>
                <w:color w:val="538135"/>
                <w:sz w:val="16"/>
                <w:szCs w:val="16"/>
              </w:rPr>
            </w:pPr>
            <w:r w:rsidRPr="00C10BC4">
              <w:rPr>
                <w:b/>
                <w:bCs/>
                <w:color w:val="C00000"/>
                <w:sz w:val="16"/>
                <w:szCs w:val="16"/>
              </w:rPr>
              <w:t>-</w:t>
            </w:r>
            <w:r w:rsidR="0053691B" w:rsidRPr="00C10BC4">
              <w:rPr>
                <w:b/>
                <w:bCs/>
                <w:color w:val="C00000"/>
                <w:sz w:val="16"/>
                <w:szCs w:val="16"/>
              </w:rPr>
              <w:t>3</w:t>
            </w:r>
            <w:r w:rsidRPr="00C10BC4">
              <w:rPr>
                <w:b/>
                <w:bCs/>
                <w:color w:val="C00000"/>
                <w:sz w:val="16"/>
                <w:szCs w:val="16"/>
              </w:rPr>
              <w:t>.</w:t>
            </w:r>
            <w:r w:rsidR="00D4478D" w:rsidRPr="00C10BC4">
              <w:rPr>
                <w:b/>
                <w:bCs/>
                <w:color w:val="C00000"/>
                <w:sz w:val="16"/>
                <w:szCs w:val="16"/>
              </w:rPr>
              <w:t>5</w:t>
            </w:r>
            <w:r w:rsidRPr="00C10BC4">
              <w:rPr>
                <w:b/>
                <w:bCs/>
                <w:color w:val="C00000"/>
                <w:sz w:val="16"/>
                <w:szCs w:val="16"/>
              </w:rPr>
              <w:t>%</w:t>
            </w:r>
          </w:p>
        </w:tc>
        <w:tc>
          <w:tcPr>
            <w:tcW w:w="838" w:type="dxa"/>
            <w:shd w:val="clear" w:color="auto" w:fill="auto"/>
            <w:vAlign w:val="center"/>
          </w:tcPr>
          <w:p w14:paraId="52C0E836" w14:textId="6E54374C" w:rsidR="00643FA9" w:rsidRPr="00C10BC4" w:rsidRDefault="00643FA9" w:rsidP="00C10BC4">
            <w:pPr>
              <w:spacing w:after="0"/>
              <w:jc w:val="center"/>
              <w:rPr>
                <w:b/>
                <w:bCs/>
                <w:color w:val="C00000"/>
                <w:sz w:val="16"/>
                <w:szCs w:val="16"/>
              </w:rPr>
            </w:pPr>
            <w:r w:rsidRPr="00C10BC4">
              <w:rPr>
                <w:b/>
                <w:bCs/>
                <w:color w:val="C00000"/>
                <w:sz w:val="16"/>
                <w:szCs w:val="16"/>
              </w:rPr>
              <w:t>-</w:t>
            </w:r>
            <w:r w:rsidR="0053691B" w:rsidRPr="00C10BC4">
              <w:rPr>
                <w:b/>
                <w:bCs/>
                <w:color w:val="C00000"/>
                <w:sz w:val="16"/>
                <w:szCs w:val="16"/>
              </w:rPr>
              <w:t>3</w:t>
            </w:r>
            <w:r w:rsidRPr="00C10BC4">
              <w:rPr>
                <w:b/>
                <w:bCs/>
                <w:color w:val="C00000"/>
                <w:sz w:val="16"/>
                <w:szCs w:val="16"/>
              </w:rPr>
              <w:t>.</w:t>
            </w:r>
            <w:r w:rsidR="0053691B" w:rsidRPr="00C10BC4">
              <w:rPr>
                <w:b/>
                <w:bCs/>
                <w:color w:val="C00000"/>
                <w:sz w:val="16"/>
                <w:szCs w:val="16"/>
              </w:rPr>
              <w:t>4</w:t>
            </w:r>
            <w:r w:rsidRPr="00C10BC4">
              <w:rPr>
                <w:b/>
                <w:bCs/>
                <w:color w:val="C00000"/>
                <w:sz w:val="16"/>
                <w:szCs w:val="16"/>
              </w:rPr>
              <w:t>%</w:t>
            </w:r>
          </w:p>
        </w:tc>
        <w:tc>
          <w:tcPr>
            <w:tcW w:w="639" w:type="dxa"/>
            <w:shd w:val="clear" w:color="auto" w:fill="auto"/>
            <w:vAlign w:val="center"/>
          </w:tcPr>
          <w:p w14:paraId="4D995212" w14:textId="41E730C2" w:rsidR="00643FA9" w:rsidRPr="00C10BC4" w:rsidRDefault="00643FA9" w:rsidP="00C10BC4">
            <w:pPr>
              <w:spacing w:after="0"/>
              <w:jc w:val="center"/>
              <w:rPr>
                <w:b/>
                <w:bCs/>
                <w:color w:val="538135"/>
                <w:sz w:val="16"/>
                <w:szCs w:val="16"/>
              </w:rPr>
            </w:pPr>
            <w:r w:rsidRPr="00C10BC4">
              <w:rPr>
                <w:b/>
                <w:bCs/>
                <w:color w:val="C00000"/>
                <w:sz w:val="16"/>
                <w:szCs w:val="16"/>
              </w:rPr>
              <w:t>-8.</w:t>
            </w:r>
            <w:r w:rsidR="0053691B" w:rsidRPr="00C10BC4">
              <w:rPr>
                <w:b/>
                <w:bCs/>
                <w:color w:val="C00000"/>
                <w:sz w:val="16"/>
                <w:szCs w:val="16"/>
              </w:rPr>
              <w:t>8</w:t>
            </w:r>
            <w:r w:rsidRPr="00C10BC4">
              <w:rPr>
                <w:b/>
                <w:bCs/>
                <w:color w:val="C00000"/>
                <w:sz w:val="16"/>
                <w:szCs w:val="16"/>
              </w:rPr>
              <w:t>%</w:t>
            </w:r>
          </w:p>
        </w:tc>
      </w:tr>
    </w:tbl>
    <w:p w14:paraId="69945DD0" w14:textId="71BEEBB3" w:rsidR="006468F4" w:rsidRPr="00942735" w:rsidRDefault="00850F01">
      <w:pPr>
        <w:pStyle w:val="Heading2"/>
        <w:spacing w:before="120"/>
      </w:pPr>
      <w:r w:rsidRPr="00942735">
        <w:t xml:space="preserve">Visualise Solution </w:t>
      </w:r>
      <w:r w:rsidR="00845EA2">
        <w:t xml:space="preserve">and </w:t>
      </w:r>
      <w:r w:rsidR="00C72638">
        <w:t>Limitations</w:t>
      </w:r>
    </w:p>
    <w:p w14:paraId="7BDFE5DA" w14:textId="630E1445" w:rsidR="006468F4" w:rsidRPr="00942735" w:rsidRDefault="00EF1BFC">
      <w:pPr>
        <w:spacing w:after="120"/>
      </w:pPr>
      <w:r w:rsidRPr="00942735">
        <w:t>The</w:t>
      </w:r>
      <w:r w:rsidR="00562C02" w:rsidRPr="00942735">
        <w:t>se</w:t>
      </w:r>
      <w:r w:rsidRPr="00942735">
        <w:t xml:space="preserve"> figure</w:t>
      </w:r>
      <w:r w:rsidR="00562C02" w:rsidRPr="00942735">
        <w:t>s</w:t>
      </w:r>
      <w:r w:rsidRPr="00942735">
        <w:t xml:space="preserve"> contain</w:t>
      </w:r>
      <w:r w:rsidR="00562C02" w:rsidRPr="00942735">
        <w:t xml:space="preserve"> information about </w:t>
      </w:r>
      <w:r w:rsidR="00D1443A" w:rsidRPr="00942735">
        <w:t xml:space="preserve">the proportion of consumption by </w:t>
      </w:r>
      <w:r w:rsidR="00440891" w:rsidRPr="00942735">
        <w:t>quarterly series</w:t>
      </w:r>
      <w:r w:rsidR="00231B9E" w:rsidRPr="00942735">
        <w:t>. I w</w:t>
      </w:r>
      <w:r w:rsidR="008407AB">
        <w:t>ant</w:t>
      </w:r>
      <w:r w:rsidR="00231B9E" w:rsidRPr="00942735">
        <w:t xml:space="preserve"> to convey the idea of how </w:t>
      </w:r>
      <w:r w:rsidR="002A33B4" w:rsidRPr="00942735">
        <w:t xml:space="preserve">the proportion variate seasonally. Therefore, </w:t>
      </w:r>
      <w:r w:rsidR="00574D21" w:rsidRPr="00942735">
        <w:t xml:space="preserve">the stacked </w:t>
      </w:r>
      <w:r w:rsidR="002A33B4" w:rsidRPr="00942735">
        <w:t xml:space="preserve">area chart </w:t>
      </w:r>
      <w:r w:rsidR="00574D21" w:rsidRPr="00942735">
        <w:t xml:space="preserve">seems to appropriate. </w:t>
      </w:r>
      <w:r w:rsidR="002117B9" w:rsidRPr="00942735">
        <w:t>I</w:t>
      </w:r>
      <w:r w:rsidR="008407AB">
        <w:t xml:space="preserve"> would use a tick mark on every four figures in the graph to make it</w:t>
      </w:r>
      <w:r w:rsidR="00755D07" w:rsidRPr="00942735">
        <w:t xml:space="preserve"> easy for</w:t>
      </w:r>
      <w:r w:rsidR="003B0993" w:rsidRPr="00942735">
        <w:t xml:space="preserve"> yearly </w:t>
      </w:r>
      <w:r w:rsidR="00755D07" w:rsidRPr="00942735">
        <w:t xml:space="preserve">comparison. </w:t>
      </w:r>
      <w:r w:rsidR="005A4970" w:rsidRPr="00942735">
        <w:t>Colour</w:t>
      </w:r>
      <w:r w:rsidR="00BC1F71" w:rsidRPr="00942735">
        <w:t>ing</w:t>
      </w:r>
      <w:r w:rsidR="00755D07" w:rsidRPr="00942735">
        <w:t xml:space="preserve"> option</w:t>
      </w:r>
      <w:r w:rsidR="00BC1F71" w:rsidRPr="00942735">
        <w:t xml:space="preserve">s are just </w:t>
      </w:r>
      <w:r w:rsidR="008407AB">
        <w:t>contrasting so the audience can easily see separate sectors</w:t>
      </w:r>
      <w:r w:rsidR="00942735" w:rsidRPr="00942735">
        <w:t>.</w:t>
      </w:r>
    </w:p>
    <w:p w14:paraId="09213F22" w14:textId="3D02ABF0" w:rsidR="006468F4" w:rsidRDefault="00D22F9F" w:rsidP="00E21A50">
      <w:pPr>
        <w:pStyle w:val="BodyTextIndent"/>
        <w:spacing w:after="120"/>
        <w:ind w:firstLine="0"/>
      </w:pPr>
      <w:r w:rsidRPr="00942735">
        <w:t xml:space="preserve">Using a </w:t>
      </w:r>
      <w:r w:rsidR="008A5661" w:rsidRPr="00942735">
        <w:t xml:space="preserve">stacked area </w:t>
      </w:r>
      <w:r w:rsidRPr="00942735">
        <w:t xml:space="preserve">chart helps the audience see the total amount of consumption all together with the proportion of each </w:t>
      </w:r>
      <w:r w:rsidRPr="00942735">
        <w:lastRenderedPageBreak/>
        <w:t xml:space="preserve">sector. But </w:t>
      </w:r>
      <w:r w:rsidR="00E86C2D" w:rsidRPr="00942735">
        <w:t>it could not deliver the amount of each sector separately to compare them to each other.</w:t>
      </w:r>
      <w:r w:rsidR="00110DE8">
        <w:t xml:space="preserve"> </w:t>
      </w:r>
      <w:r w:rsidR="008619C9">
        <w:t xml:space="preserve">To make it better, I added the </w:t>
      </w:r>
      <w:r w:rsidR="00CA54C9">
        <w:t xml:space="preserve">plot option </w:t>
      </w:r>
      <w:r w:rsidR="00816113">
        <w:t>to show the sector amount, with the total of other sectors altogether by hovering</w:t>
      </w:r>
      <w:r w:rsidR="00CA54C9">
        <w:t xml:space="preserve"> through the column.</w:t>
      </w:r>
    </w:p>
    <w:p w14:paraId="204E565A" w14:textId="0112E2BC" w:rsidR="006468F4" w:rsidRDefault="00FE116A">
      <w:pPr>
        <w:pStyle w:val="Heading1"/>
        <w:spacing w:before="120"/>
      </w:pPr>
      <w:r>
        <w:t>UK PRODUCTION AND TRADE OF NATURAL GAS</w:t>
      </w:r>
    </w:p>
    <w:p w14:paraId="7B146B9E" w14:textId="068A1CF4" w:rsidR="00CA54C9" w:rsidRDefault="00CA54C9" w:rsidP="007B3668">
      <w:pPr>
        <w:pStyle w:val="Heading2"/>
        <w:spacing w:line="276" w:lineRule="auto"/>
      </w:pPr>
      <w:r>
        <w:t>Data Analyse</w:t>
      </w:r>
    </w:p>
    <w:p w14:paraId="681F3A06" w14:textId="5EE318F4" w:rsidR="00370D0D" w:rsidRDefault="00370D0D" w:rsidP="00370D0D">
      <w:r w:rsidRPr="00816113">
        <w:rPr>
          <w:b/>
          <w:bCs/>
        </w:rPr>
        <w:t xml:space="preserve">In 2021, gas production hit a record low of 363 </w:t>
      </w:r>
      <w:proofErr w:type="spellStart"/>
      <w:r w:rsidRPr="00816113">
        <w:rPr>
          <w:b/>
          <w:bCs/>
        </w:rPr>
        <w:t>TWh</w:t>
      </w:r>
      <w:proofErr w:type="spellEnd"/>
      <w:r w:rsidRPr="00816113">
        <w:rPr>
          <w:b/>
          <w:bCs/>
        </w:rPr>
        <w:t xml:space="preserve">, </w:t>
      </w:r>
      <w:r w:rsidRPr="001B53C8">
        <w:t xml:space="preserve">47 </w:t>
      </w:r>
      <w:proofErr w:type="spellStart"/>
      <w:r w:rsidRPr="001B53C8">
        <w:t>TWh</w:t>
      </w:r>
      <w:proofErr w:type="spellEnd"/>
      <w:r w:rsidRPr="001B53C8">
        <w:t xml:space="preserve"> below the previous record low in 2013</w:t>
      </w:r>
      <w:r>
        <w:t xml:space="preserve">. This was a 17 per cent fall </w:t>
      </w:r>
      <w:r w:rsidR="00E6212B">
        <w:t>compared to</w:t>
      </w:r>
      <w:r>
        <w:t xml:space="preserve"> 2020 and equivalent to 30 per cent of the peak in 2000. Low production </w:t>
      </w:r>
      <w:r w:rsidR="00E6212B">
        <w:t>resulted from an extensive summer maintenance schedule that saw shutdowns at several major terminals</w:t>
      </w:r>
      <w:r w:rsidR="008F5272">
        <w:t xml:space="preserve"> and</w:t>
      </w:r>
      <w:r w:rsidR="00E6212B">
        <w:t xml:space="preserve"> the Forties Pipeline System (FPS),</w:t>
      </w:r>
      <w:r>
        <w:t xml:space="preserve"> which serves around a significant proportion of UK oil and gas production. </w:t>
      </w:r>
    </w:p>
    <w:p w14:paraId="1101F936" w14:textId="7A2A6C38" w:rsidR="00370D0D" w:rsidRDefault="00370D0D" w:rsidP="00370D0D">
      <w:r>
        <w:t xml:space="preserve">To meet </w:t>
      </w:r>
      <w:r w:rsidR="00C25A80">
        <w:t>d</w:t>
      </w:r>
      <w:r>
        <w:t xml:space="preserve">emand amid low production, there was a 17 per cent increase in </w:t>
      </w:r>
      <w:r w:rsidR="00E6212B">
        <w:t>natural gas import</w:t>
      </w:r>
      <w:r>
        <w:t xml:space="preserve">s and a substantial slowing </w:t>
      </w:r>
      <w:r w:rsidR="00E6212B">
        <w:t>in</w:t>
      </w:r>
      <w:r>
        <w:t xml:space="preserve"> exports. Exports in 2021 reached their lowest level since 1998, down 29 per cent </w:t>
      </w:r>
      <w:r w:rsidR="00E6212B">
        <w:t>i</w:t>
      </w:r>
      <w:r>
        <w:t xml:space="preserve">n 2020. </w:t>
      </w:r>
      <w:r w:rsidR="00671C8B">
        <w:t>Overall,</w:t>
      </w:r>
      <w:r>
        <w:t xml:space="preserve"> this resulted in net imports increas</w:t>
      </w:r>
      <w:r w:rsidR="00E6212B">
        <w:t>ed</w:t>
      </w:r>
      <w:r>
        <w:t xml:space="preserve"> by 30 per cent in 2021 compared to 2020. </w:t>
      </w:r>
    </w:p>
    <w:p w14:paraId="7B856DA5" w14:textId="49413895" w:rsidR="00CA54C9" w:rsidRPr="00CA54C9" w:rsidRDefault="00370D0D" w:rsidP="00370D0D">
      <w:r w:rsidRPr="001B53C8">
        <w:rPr>
          <w:b/>
          <w:bCs/>
        </w:rPr>
        <w:t>In Quarter 4 2021, gross gas production fell 1.7 per cent on Quarter 4 2020</w:t>
      </w:r>
      <w:r>
        <w:t>. Production has recovered following substantial maintenance in the summer but remains lower than pre</w:t>
      </w:r>
      <w:r w:rsidR="00E6212B">
        <w:t>-</w:t>
      </w:r>
      <w:r>
        <w:t xml:space="preserve">pandemic levels. This </w:t>
      </w:r>
      <w:r w:rsidR="00E6212B">
        <w:t>results from</w:t>
      </w:r>
      <w:r>
        <w:t xml:space="preserve"> delays to </w:t>
      </w:r>
      <w:r w:rsidR="00E6212B">
        <w:t>car</w:t>
      </w:r>
      <w:r>
        <w:t xml:space="preserve">e in 2020, following restrictions to curb the Covid-19 pandemic, on the back of several years of low investment in North Sea infrastructure. Net imports fell 17 per cent </w:t>
      </w:r>
      <w:r w:rsidR="00E6212B">
        <w:t>compared to</w:t>
      </w:r>
      <w:r>
        <w:t xml:space="preserve"> Quarter 4 2020, due to exports more than doubling compared to Quarter 4 2020. This rise in exports was driven by a substantial increase in exports to Belgium and the Netherlands while UK demand was low.</w:t>
      </w:r>
    </w:p>
    <w:p w14:paraId="74E69935" w14:textId="752E8241" w:rsidR="00CA54C9" w:rsidRDefault="007B3714" w:rsidP="00CA54C9">
      <w:pPr>
        <w:pStyle w:val="Heading2"/>
        <w:spacing w:before="120"/>
      </w:pPr>
      <w:r w:rsidRPr="00942735">
        <w:t>Visualise Solution</w:t>
      </w:r>
      <w:r w:rsidR="00E21A50">
        <w:t xml:space="preserve"> and </w:t>
      </w:r>
      <w:r w:rsidR="00C72638">
        <w:t>Limitations</w:t>
      </w:r>
    </w:p>
    <w:p w14:paraId="36262C61" w14:textId="34EC3BB6" w:rsidR="00CA54C9" w:rsidRDefault="00A63F0A" w:rsidP="00CA54C9">
      <w:r>
        <w:t>To visual</w:t>
      </w:r>
      <w:r w:rsidR="003C1EA7">
        <w:t>ise</w:t>
      </w:r>
      <w:r>
        <w:t xml:space="preserve"> the trend of production and trade, I use </w:t>
      </w:r>
      <w:r w:rsidR="003C1EA7">
        <w:t xml:space="preserve">a </w:t>
      </w:r>
      <w:r>
        <w:t xml:space="preserve">basic line chart with </w:t>
      </w:r>
      <w:r w:rsidR="003C1EA7">
        <w:t xml:space="preserve">an </w:t>
      </w:r>
      <w:r>
        <w:t xml:space="preserve">inherited </w:t>
      </w:r>
      <w:r w:rsidR="003C1EA7">
        <w:t xml:space="preserve">format from the first graph. The purpose is to illustrate the </w:t>
      </w:r>
      <w:r w:rsidR="00AD793F">
        <w:t xml:space="preserve">proportion and difference </w:t>
      </w:r>
      <w:r w:rsidR="00575FB5">
        <w:t xml:space="preserve">between production and trade. </w:t>
      </w:r>
    </w:p>
    <w:p w14:paraId="65BB7CD2" w14:textId="0FBF2A7F" w:rsidR="00E21A50" w:rsidRPr="00CA54C9" w:rsidRDefault="00B1479F" w:rsidP="00CA54C9">
      <w:r>
        <w:t>By u</w:t>
      </w:r>
      <w:r w:rsidR="00A80A35">
        <w:t xml:space="preserve">sing </w:t>
      </w:r>
      <w:r>
        <w:t xml:space="preserve">a </w:t>
      </w:r>
      <w:r w:rsidR="00A80A35">
        <w:t xml:space="preserve">line chart, the audience cannot see the </w:t>
      </w:r>
      <w:r w:rsidR="00957733">
        <w:t>correlat</w:t>
      </w:r>
      <w:r w:rsidR="005A462E">
        <w:t>ion</w:t>
      </w:r>
      <w:r w:rsidR="00957733">
        <w:t xml:space="preserve"> between the </w:t>
      </w:r>
      <w:r w:rsidR="005A462E">
        <w:t>three lines.</w:t>
      </w:r>
    </w:p>
    <w:p w14:paraId="27630F45" w14:textId="2BB48477" w:rsidR="006468F4" w:rsidRDefault="00FE116A">
      <w:pPr>
        <w:pStyle w:val="Heading1"/>
        <w:spacing w:before="120"/>
      </w:pPr>
      <w:r w:rsidRPr="00370D0D">
        <w:t>IMPORTS BY ORIGIN</w:t>
      </w:r>
    </w:p>
    <w:p w14:paraId="474A8A58" w14:textId="767C7192" w:rsidR="005A462E" w:rsidRPr="005A462E" w:rsidRDefault="005A462E" w:rsidP="005A462E">
      <w:pPr>
        <w:pStyle w:val="Heading2"/>
        <w:spacing w:before="120"/>
      </w:pPr>
      <w:bookmarkStart w:id="1" w:name="_Hlk103432703"/>
      <w:r>
        <w:t>Data Analyse</w:t>
      </w:r>
    </w:p>
    <w:bookmarkEnd w:id="1"/>
    <w:p w14:paraId="2D04E90E" w14:textId="0203C3D4" w:rsidR="00370D0D" w:rsidRPr="00370D0D" w:rsidRDefault="00370D0D" w:rsidP="00370D0D">
      <w:pPr>
        <w:pStyle w:val="Paper-Title"/>
        <w:jc w:val="both"/>
        <w:rPr>
          <w:rFonts w:ascii="Times New Roman" w:hAnsi="Times New Roman"/>
          <w:b w:val="0"/>
          <w:bCs/>
          <w:sz w:val="18"/>
          <w:szCs w:val="18"/>
        </w:rPr>
      </w:pPr>
      <w:r w:rsidRPr="00370D0D">
        <w:rPr>
          <w:rFonts w:ascii="Times New Roman" w:hAnsi="Times New Roman"/>
          <w:sz w:val="18"/>
          <w:szCs w:val="18"/>
        </w:rPr>
        <w:t>In 2021, Norway remained the largest import source of natural gas.</w:t>
      </w:r>
      <w:r w:rsidRPr="00370D0D">
        <w:rPr>
          <w:rFonts w:ascii="Times New Roman" w:hAnsi="Times New Roman"/>
          <w:b w:val="0"/>
          <w:bCs/>
          <w:sz w:val="18"/>
          <w:szCs w:val="18"/>
        </w:rPr>
        <w:t xml:space="preserve"> Imports from Norway accounted for 39 per cent of supply (production + imports) and 64 per cent of total imports. Historically, the UK imports a large amount of gas from Norway</w:t>
      </w:r>
      <w:r w:rsidR="008F5272">
        <w:rPr>
          <w:rFonts w:ascii="Times New Roman" w:hAnsi="Times New Roman"/>
          <w:b w:val="0"/>
          <w:bCs/>
          <w:sz w:val="18"/>
          <w:szCs w:val="18"/>
        </w:rPr>
        <w:t>;</w:t>
      </w:r>
      <w:r w:rsidRPr="00370D0D">
        <w:rPr>
          <w:rFonts w:ascii="Times New Roman" w:hAnsi="Times New Roman"/>
          <w:b w:val="0"/>
          <w:bCs/>
          <w:sz w:val="18"/>
          <w:szCs w:val="18"/>
        </w:rPr>
        <w:t xml:space="preserve"> however, in 2021</w:t>
      </w:r>
      <w:r w:rsidR="008F5272">
        <w:rPr>
          <w:rFonts w:ascii="Times New Roman" w:hAnsi="Times New Roman"/>
          <w:b w:val="0"/>
          <w:bCs/>
          <w:sz w:val="18"/>
          <w:szCs w:val="18"/>
        </w:rPr>
        <w:t>,</w:t>
      </w:r>
      <w:r w:rsidRPr="00370D0D">
        <w:rPr>
          <w:rFonts w:ascii="Times New Roman" w:hAnsi="Times New Roman"/>
          <w:b w:val="0"/>
          <w:bCs/>
          <w:sz w:val="18"/>
          <w:szCs w:val="18"/>
        </w:rPr>
        <w:t xml:space="preserve"> Norwegian imports increased 35 per cent </w:t>
      </w:r>
      <w:r w:rsidR="008F5272">
        <w:rPr>
          <w:rFonts w:ascii="Times New Roman" w:hAnsi="Times New Roman"/>
          <w:b w:val="0"/>
          <w:bCs/>
          <w:sz w:val="18"/>
          <w:szCs w:val="18"/>
        </w:rPr>
        <w:t>compared to</w:t>
      </w:r>
      <w:r w:rsidRPr="00370D0D">
        <w:rPr>
          <w:rFonts w:ascii="Times New Roman" w:hAnsi="Times New Roman"/>
          <w:b w:val="0"/>
          <w:bCs/>
          <w:sz w:val="18"/>
          <w:szCs w:val="18"/>
        </w:rPr>
        <w:t xml:space="preserve"> 2020</w:t>
      </w:r>
      <w:r w:rsidR="008F5272">
        <w:rPr>
          <w:rFonts w:ascii="Times New Roman" w:hAnsi="Times New Roman"/>
          <w:b w:val="0"/>
          <w:bCs/>
          <w:sz w:val="18"/>
          <w:szCs w:val="18"/>
        </w:rPr>
        <w:t>,</w:t>
      </w:r>
      <w:r w:rsidRPr="00370D0D">
        <w:rPr>
          <w:rFonts w:ascii="Times New Roman" w:hAnsi="Times New Roman"/>
          <w:b w:val="0"/>
          <w:bCs/>
          <w:sz w:val="18"/>
          <w:szCs w:val="18"/>
        </w:rPr>
        <w:t xml:space="preserve"> when LNG took centre stage. Increases were also seen in imports from the Netherlands and Belgium, which more than doubled in comparison with 2020. This reflects the rise in imports to meet </w:t>
      </w:r>
      <w:r w:rsidR="00C25A80">
        <w:rPr>
          <w:rFonts w:ascii="Times New Roman" w:hAnsi="Times New Roman"/>
          <w:b w:val="0"/>
          <w:bCs/>
          <w:sz w:val="18"/>
          <w:szCs w:val="18"/>
        </w:rPr>
        <w:t>d</w:t>
      </w:r>
      <w:r w:rsidRPr="00370D0D">
        <w:rPr>
          <w:rFonts w:ascii="Times New Roman" w:hAnsi="Times New Roman"/>
          <w:b w:val="0"/>
          <w:bCs/>
          <w:sz w:val="18"/>
          <w:szCs w:val="18"/>
        </w:rPr>
        <w:t xml:space="preserve">emand amid low indigenous production. </w:t>
      </w:r>
    </w:p>
    <w:p w14:paraId="306D838C" w14:textId="77777777" w:rsidR="00370D0D" w:rsidRPr="00370D0D" w:rsidRDefault="00370D0D" w:rsidP="00370D0D">
      <w:pPr>
        <w:pStyle w:val="Paper-Title"/>
        <w:jc w:val="both"/>
        <w:rPr>
          <w:rFonts w:ascii="Times New Roman" w:hAnsi="Times New Roman"/>
          <w:b w:val="0"/>
          <w:bCs/>
          <w:sz w:val="18"/>
          <w:szCs w:val="18"/>
        </w:rPr>
      </w:pPr>
      <w:r w:rsidRPr="00370D0D">
        <w:rPr>
          <w:rFonts w:ascii="Times New Roman" w:hAnsi="Times New Roman"/>
          <w:b w:val="0"/>
          <w:bCs/>
          <w:sz w:val="18"/>
          <w:szCs w:val="18"/>
        </w:rPr>
        <w:t xml:space="preserve">LNG imports decreased by 22 per cent in 2021, though volumes imported remained substantial. LNG accounted for 17 per cent of supply (production + imports) and 28 per cent of total gas imports. Qatar remained the largest source of LNG, </w:t>
      </w:r>
      <w:r w:rsidRPr="00370D0D">
        <w:rPr>
          <w:rFonts w:ascii="Times New Roman" w:hAnsi="Times New Roman"/>
          <w:b w:val="0"/>
          <w:bCs/>
          <w:sz w:val="18"/>
          <w:szCs w:val="18"/>
        </w:rPr>
        <w:t xml:space="preserve">contributing 40 per cent of LNG imports in 2021. However, this represents a fall in its share in comparison with 2020, as well as being the lowest share of LNG from Qatar since 2008. The USA remained the second largest source of LNG despite decreasing just over a quarter compared to 2020. Imports of LNG from Russia were up 37 per cent in 2021 compared to 2020, accounting for 3.7 per cent of supply (production + imports) and 6.1 per cent of imports. </w:t>
      </w:r>
    </w:p>
    <w:p w14:paraId="282BA27A" w14:textId="5C37BCA7" w:rsidR="00370D0D" w:rsidRDefault="00370D0D" w:rsidP="00370D0D">
      <w:pPr>
        <w:pStyle w:val="Paper-Title"/>
        <w:jc w:val="both"/>
        <w:rPr>
          <w:rFonts w:ascii="Times New Roman" w:hAnsi="Times New Roman"/>
          <w:b w:val="0"/>
          <w:bCs/>
          <w:sz w:val="18"/>
          <w:szCs w:val="18"/>
        </w:rPr>
      </w:pPr>
      <w:r w:rsidRPr="00370D0D">
        <w:rPr>
          <w:rFonts w:ascii="Times New Roman" w:hAnsi="Times New Roman"/>
          <w:sz w:val="18"/>
          <w:szCs w:val="18"/>
        </w:rPr>
        <w:t xml:space="preserve">In Quarter 4 2021, LNG imports fell 5.5 per cent </w:t>
      </w:r>
      <w:r w:rsidR="005A462E">
        <w:rPr>
          <w:rFonts w:ascii="Times New Roman" w:hAnsi="Times New Roman"/>
          <w:sz w:val="18"/>
          <w:szCs w:val="18"/>
        </w:rPr>
        <w:t>compared to</w:t>
      </w:r>
      <w:r w:rsidRPr="00370D0D">
        <w:rPr>
          <w:rFonts w:ascii="Times New Roman" w:hAnsi="Times New Roman"/>
          <w:sz w:val="18"/>
          <w:szCs w:val="18"/>
        </w:rPr>
        <w:t xml:space="preserve"> Quarter 4 2020.</w:t>
      </w:r>
      <w:r w:rsidRPr="00370D0D">
        <w:rPr>
          <w:rFonts w:ascii="Times New Roman" w:hAnsi="Times New Roman"/>
          <w:b w:val="0"/>
          <w:bCs/>
          <w:sz w:val="18"/>
          <w:szCs w:val="18"/>
        </w:rPr>
        <w:t xml:space="preserve"> Qatar was the largest supplier of LNG to the UK, comprising 34 per cent of total LNG imports. This was more than double that recorded in Quarter 4 2020. Following zero imports to the UK for 2 years, Peru was the second largest supplier of LNG in Quarter 4 2021, comprising 21 per cent of total LNG imports. This reflects gas market conditions towards the end of 2021, which saw European countries secure LNG cargoes from further afield. Imports from the USA increased by close to a third in the same period</w:t>
      </w:r>
      <w:r w:rsidR="008713A2">
        <w:rPr>
          <w:rFonts w:ascii="Times New Roman" w:hAnsi="Times New Roman"/>
          <w:b w:val="0"/>
          <w:bCs/>
          <w:sz w:val="18"/>
          <w:szCs w:val="18"/>
        </w:rPr>
        <w:t>. C</w:t>
      </w:r>
      <w:r w:rsidRPr="00370D0D">
        <w:rPr>
          <w:rFonts w:ascii="Times New Roman" w:hAnsi="Times New Roman"/>
          <w:b w:val="0"/>
          <w:bCs/>
          <w:sz w:val="18"/>
          <w:szCs w:val="18"/>
        </w:rPr>
        <w:t>onversely</w:t>
      </w:r>
      <w:r w:rsidR="002A1452">
        <w:rPr>
          <w:rFonts w:ascii="Times New Roman" w:hAnsi="Times New Roman"/>
          <w:b w:val="0"/>
          <w:bCs/>
          <w:sz w:val="18"/>
          <w:szCs w:val="18"/>
        </w:rPr>
        <w:t>,</w:t>
      </w:r>
      <w:r w:rsidRPr="00370D0D">
        <w:rPr>
          <w:rFonts w:ascii="Times New Roman" w:hAnsi="Times New Roman"/>
          <w:b w:val="0"/>
          <w:bCs/>
          <w:sz w:val="18"/>
          <w:szCs w:val="18"/>
        </w:rPr>
        <w:t xml:space="preserve"> imports from Russia decreased by close to a third</w:t>
      </w:r>
      <w:r w:rsidR="002A1452">
        <w:rPr>
          <w:rFonts w:ascii="Times New Roman" w:hAnsi="Times New Roman"/>
          <w:b w:val="0"/>
          <w:bCs/>
          <w:sz w:val="18"/>
          <w:szCs w:val="18"/>
        </w:rPr>
        <w:t>,</w:t>
      </w:r>
      <w:r w:rsidRPr="00370D0D">
        <w:rPr>
          <w:rFonts w:ascii="Times New Roman" w:hAnsi="Times New Roman"/>
          <w:b w:val="0"/>
          <w:bCs/>
          <w:sz w:val="18"/>
          <w:szCs w:val="18"/>
        </w:rPr>
        <w:t xml:space="preserve"> accounting for 3.6 per cent of supply (production + imports) and 5.8 per cent of imports.</w:t>
      </w:r>
    </w:p>
    <w:p w14:paraId="0D5B86E1" w14:textId="23CAAEFD" w:rsidR="00564EC3" w:rsidRDefault="008F5272" w:rsidP="00564EC3">
      <w:pPr>
        <w:pStyle w:val="Heading2"/>
      </w:pPr>
      <w:r>
        <w:t>Visualise Solution and</w:t>
      </w:r>
      <w:r w:rsidRPr="008F5272">
        <w:t xml:space="preserve"> </w:t>
      </w:r>
      <w:r w:rsidR="00C72638">
        <w:t>Limitations</w:t>
      </w:r>
    </w:p>
    <w:p w14:paraId="4652E90C" w14:textId="43321E6C" w:rsidR="002A1452" w:rsidRDefault="002A1452" w:rsidP="008F5272">
      <w:r>
        <w:t>The imports origin dataset is divided into pipeline and shipping origins,</w:t>
      </w:r>
      <w:r w:rsidR="004D1681">
        <w:t xml:space="preserve"> some contains the same import nation,</w:t>
      </w:r>
      <w:r w:rsidR="005B7DC3">
        <w:t xml:space="preserve"> </w:t>
      </w:r>
      <w:r w:rsidR="00E06804">
        <w:t xml:space="preserve">making it more complicated to illustrate the </w:t>
      </w:r>
      <w:r w:rsidR="004A5E85">
        <w:t>origins of importers with proportion.</w:t>
      </w:r>
      <w:r w:rsidR="002E42ED">
        <w:t xml:space="preserve"> I want to show the proportion of importers</w:t>
      </w:r>
      <w:r w:rsidR="00475A78">
        <w:t xml:space="preserve">, also want to show </w:t>
      </w:r>
      <w:r w:rsidR="002E42ED">
        <w:t>the dependent of that importer.</w:t>
      </w:r>
      <w:r w:rsidR="00532D22">
        <w:t xml:space="preserve"> </w:t>
      </w:r>
    </w:p>
    <w:p w14:paraId="08932EA2" w14:textId="4522D4A5" w:rsidR="009E10CC" w:rsidRPr="00475A78" w:rsidRDefault="008D28F3" w:rsidP="00475A78">
      <w:r>
        <w:t xml:space="preserve">The limitations </w:t>
      </w:r>
      <w:proofErr w:type="gramStart"/>
      <w:r>
        <w:t>is</w:t>
      </w:r>
      <w:proofErr w:type="gramEnd"/>
      <w:r>
        <w:t xml:space="preserve"> solved by 2 charts for 2 visualisation purposes. One stacked columns chart is to illustrate the total amount of each importer by year. One proportion graph to illustrate the dependent to that importer nation.</w:t>
      </w:r>
    </w:p>
    <w:p w14:paraId="34573328" w14:textId="6813FEFB" w:rsidR="006468F4" w:rsidRDefault="000E1F65" w:rsidP="007B3668">
      <w:pPr>
        <w:pStyle w:val="Heading1"/>
        <w:spacing w:before="120" w:line="360" w:lineRule="auto"/>
      </w:pPr>
      <w:r>
        <w:t>CONCLUSION</w:t>
      </w:r>
    </w:p>
    <w:p w14:paraId="105248D2" w14:textId="3780A200" w:rsidR="006468F4" w:rsidRDefault="003374E3">
      <w:pPr>
        <w:pStyle w:val="BodyTextIndent"/>
        <w:spacing w:after="120"/>
        <w:ind w:firstLine="0"/>
      </w:pPr>
      <w:r>
        <w:t>Through th</w:t>
      </w:r>
      <w:r w:rsidR="00202C77">
        <w:t>is</w:t>
      </w:r>
      <w:r>
        <w:t xml:space="preserve"> visualisation</w:t>
      </w:r>
      <w:r w:rsidR="00202C77">
        <w:t xml:space="preserve"> project</w:t>
      </w:r>
      <w:r>
        <w:t>, we can see that the UK is consuming a lot of gas energy</w:t>
      </w:r>
      <w:r w:rsidR="00B236D4">
        <w:t xml:space="preserve"> and </w:t>
      </w:r>
      <w:r w:rsidR="001B7A40">
        <w:t xml:space="preserve">has </w:t>
      </w:r>
      <w:r w:rsidR="00B236D4">
        <w:t xml:space="preserve">recently </w:t>
      </w:r>
      <w:r w:rsidR="0026479B">
        <w:t>switch</w:t>
      </w:r>
      <w:r w:rsidR="00B236D4">
        <w:t>ed</w:t>
      </w:r>
      <w:r w:rsidR="0026479B">
        <w:t xml:space="preserve"> to renewable </w:t>
      </w:r>
      <w:r w:rsidR="003176EA">
        <w:t>energy sources</w:t>
      </w:r>
      <w:r w:rsidR="00B236D4">
        <w:t>. This illustrate</w:t>
      </w:r>
      <w:r w:rsidR="003176EA">
        <w:t>s</w:t>
      </w:r>
      <w:r w:rsidR="00B236D4">
        <w:t xml:space="preserve"> a</w:t>
      </w:r>
      <w:r w:rsidR="003176EA">
        <w:t>n</w:t>
      </w:r>
      <w:r w:rsidR="00B236D4">
        <w:t xml:space="preserve"> </w:t>
      </w:r>
      <w:r w:rsidR="003176EA">
        <w:t xml:space="preserve">unsustainable for the </w:t>
      </w:r>
      <w:proofErr w:type="gramStart"/>
      <w:r w:rsidR="003176EA">
        <w:t>long term</w:t>
      </w:r>
      <w:proofErr w:type="gramEnd"/>
      <w:r w:rsidR="003176EA">
        <w:t xml:space="preserve"> future, </w:t>
      </w:r>
    </w:p>
    <w:p w14:paraId="5CD3AA19" w14:textId="37FD97DB" w:rsidR="00C70332" w:rsidRDefault="00C70332">
      <w:pPr>
        <w:pStyle w:val="BodyTextIndent"/>
        <w:spacing w:after="120"/>
        <w:ind w:firstLine="0"/>
      </w:pPr>
      <w:r>
        <w:t xml:space="preserve">We can also see that, among many gas importers, Russia </w:t>
      </w:r>
      <w:r w:rsidR="00075F93">
        <w:t xml:space="preserve">is </w:t>
      </w:r>
      <w:r>
        <w:t>just a</w:t>
      </w:r>
      <w:r w:rsidR="00075F93">
        <w:t xml:space="preserve"> minor </w:t>
      </w:r>
      <w:r w:rsidR="00694435">
        <w:t xml:space="preserve">source </w:t>
      </w:r>
      <w:r w:rsidR="00075F93">
        <w:t>account</w:t>
      </w:r>
      <w:r w:rsidR="00CD0583">
        <w:t>ing</w:t>
      </w:r>
      <w:r w:rsidR="00075F93">
        <w:t xml:space="preserve"> for </w:t>
      </w:r>
      <w:r w:rsidR="0076507C">
        <w:t>around 6</w:t>
      </w:r>
      <w:r w:rsidR="00694435">
        <w:t>%</w:t>
      </w:r>
      <w:r w:rsidR="0076507C">
        <w:t xml:space="preserve"> up to 2020</w:t>
      </w:r>
      <w:r w:rsidR="00694435">
        <w:t xml:space="preserve">. The UK is independent </w:t>
      </w:r>
      <w:r w:rsidR="00CD0583">
        <w:t>of</w:t>
      </w:r>
      <w:r w:rsidR="00694435">
        <w:t xml:space="preserve"> </w:t>
      </w:r>
      <w:r w:rsidR="00CD0583">
        <w:t>Russia’s</w:t>
      </w:r>
      <w:r w:rsidR="00694435">
        <w:t xml:space="preserve"> </w:t>
      </w:r>
      <w:r w:rsidR="00CD0583">
        <w:t>sources</w:t>
      </w:r>
      <w:r w:rsidR="00694435">
        <w:t xml:space="preserve">. </w:t>
      </w:r>
      <w:r w:rsidR="00CD0583">
        <w:t>This explain</w:t>
      </w:r>
      <w:r w:rsidR="00AF4541">
        <w:t>s</w:t>
      </w:r>
      <w:r w:rsidR="00CD0583">
        <w:t xml:space="preserve"> why the UK is among countries </w:t>
      </w:r>
      <w:r w:rsidR="0073226F">
        <w:t xml:space="preserve">that </w:t>
      </w:r>
      <w:r w:rsidR="0073226F" w:rsidRPr="0073226F">
        <w:t>spoke out strongly against Russia</w:t>
      </w:r>
      <w:r w:rsidR="00AF4541">
        <w:t>’</w:t>
      </w:r>
      <w:r w:rsidR="0073226F" w:rsidRPr="0073226F">
        <w:t>s behavio</w:t>
      </w:r>
      <w:r w:rsidR="00AF4541">
        <w:t>u</w:t>
      </w:r>
      <w:r w:rsidR="0073226F" w:rsidRPr="0073226F">
        <w:t>r</w:t>
      </w:r>
      <w:r w:rsidR="00EB7ED7">
        <w:t xml:space="preserve">, unlike the case of Germany </w:t>
      </w:r>
      <w:r w:rsidR="00E51F84">
        <w:t>and part of France</w:t>
      </w:r>
      <w:r w:rsidR="00840DB5">
        <w:t>.</w:t>
      </w:r>
    </w:p>
    <w:p w14:paraId="5800052B" w14:textId="77777777" w:rsidR="00840DB5" w:rsidRPr="00C41092" w:rsidRDefault="00840DB5">
      <w:pPr>
        <w:pStyle w:val="BodyTextIndent"/>
        <w:spacing w:after="120"/>
        <w:ind w:firstLine="0"/>
        <w:rPr>
          <w:lang w:val="en-US"/>
        </w:rPr>
      </w:pPr>
    </w:p>
    <w:p w14:paraId="658BEA8A" w14:textId="17C7AC33" w:rsidR="00571194" w:rsidRDefault="00571194" w:rsidP="007B3668">
      <w:pPr>
        <w:pStyle w:val="Heading1"/>
        <w:spacing w:line="360" w:lineRule="auto"/>
      </w:pPr>
      <w:r>
        <w:t>REFERENCES</w:t>
      </w:r>
    </w:p>
    <w:p w14:paraId="760FB09D" w14:textId="14B18286" w:rsidR="00571194" w:rsidRDefault="00571194" w:rsidP="00571194">
      <w:pPr>
        <w:pStyle w:val="Bibliography"/>
        <w:rPr>
          <w:noProof/>
          <w:sz w:val="24"/>
          <w:szCs w:val="24"/>
        </w:rPr>
      </w:pPr>
      <w:r>
        <w:rPr>
          <w:noProof/>
        </w:rPr>
        <w:t xml:space="preserve">BP, 2021. </w:t>
      </w:r>
      <w:r>
        <w:rPr>
          <w:i/>
          <w:iCs/>
          <w:noProof/>
        </w:rPr>
        <w:t xml:space="preserve">Statistical Review of World Energy. </w:t>
      </w:r>
      <w:r>
        <w:rPr>
          <w:noProof/>
        </w:rPr>
        <w:t xml:space="preserve">[Online] </w:t>
      </w:r>
      <w:r>
        <w:rPr>
          <w:noProof/>
        </w:rPr>
        <w:br/>
        <w:t xml:space="preserve">Available at: </w:t>
      </w:r>
      <w:r>
        <w:rPr>
          <w:noProof/>
          <w:u w:val="single"/>
        </w:rPr>
        <w:t>https://www.bp.com/en/global/corporate/energy-economics/statistical-review-of-world-energy.html</w:t>
      </w:r>
    </w:p>
    <w:p w14:paraId="52F76747" w14:textId="77777777" w:rsidR="00571194" w:rsidRDefault="00571194" w:rsidP="00571194">
      <w:pPr>
        <w:pStyle w:val="Bibliography"/>
        <w:rPr>
          <w:noProof/>
        </w:rPr>
      </w:pPr>
      <w:r>
        <w:rPr>
          <w:noProof/>
        </w:rPr>
        <w:t xml:space="preserve">Department for Business, E. &amp;. I. S., 2022. </w:t>
      </w:r>
      <w:r>
        <w:rPr>
          <w:i/>
          <w:iCs/>
          <w:noProof/>
        </w:rPr>
        <w:t xml:space="preserve">National statistics GOV.UK. </w:t>
      </w:r>
      <w:r>
        <w:rPr>
          <w:noProof/>
        </w:rPr>
        <w:t xml:space="preserve">[Online] </w:t>
      </w:r>
      <w:r>
        <w:rPr>
          <w:noProof/>
        </w:rPr>
        <w:br/>
        <w:t xml:space="preserve">Available at: </w:t>
      </w:r>
      <w:r>
        <w:rPr>
          <w:noProof/>
          <w:u w:val="single"/>
        </w:rPr>
        <w:t>https://www.gov.uk/government/statistics/gas-section-4-energy-trends</w:t>
      </w:r>
    </w:p>
    <w:p w14:paraId="43B18E18" w14:textId="1D34FBED" w:rsidR="00571194" w:rsidRDefault="00571194" w:rsidP="00571194"/>
    <w:p w14:paraId="48DDD389" w14:textId="77777777" w:rsidR="00571194" w:rsidRDefault="00571194" w:rsidP="00B62A75">
      <w:pPr>
        <w:pStyle w:val="References"/>
        <w:numPr>
          <w:ilvl w:val="0"/>
          <w:numId w:val="0"/>
        </w:numPr>
      </w:pPr>
    </w:p>
    <w:p w14:paraId="361DB606" w14:textId="77777777" w:rsidR="00B62A75" w:rsidRDefault="00B62A75" w:rsidP="00B62A75">
      <w:pPr>
        <w:pStyle w:val="References"/>
        <w:numPr>
          <w:ilvl w:val="0"/>
          <w:numId w:val="0"/>
        </w:numPr>
        <w:sectPr w:rsidR="00B62A75" w:rsidSect="004E54DA">
          <w:type w:val="continuous"/>
          <w:pgSz w:w="11906" w:h="16838" w:code="9"/>
          <w:pgMar w:top="1440" w:right="1080" w:bottom="1276" w:left="1080" w:header="720" w:footer="720" w:gutter="0"/>
          <w:cols w:num="2" w:space="475"/>
          <w:docGrid w:linePitch="245"/>
        </w:sectPr>
      </w:pPr>
    </w:p>
    <w:p w14:paraId="5AE77D99" w14:textId="6BBF6B42" w:rsidR="0091028B" w:rsidRPr="009729F8" w:rsidRDefault="0091028B" w:rsidP="00B62A75">
      <w:pPr>
        <w:pStyle w:val="Paper-Title"/>
        <w:jc w:val="both"/>
        <w:rPr>
          <w:rFonts w:ascii="Times New Roman" w:hAnsi="Times New Roman"/>
          <w:sz w:val="22"/>
          <w:szCs w:val="22"/>
        </w:rPr>
      </w:pPr>
      <w:r w:rsidRPr="009729F8">
        <w:rPr>
          <w:rFonts w:ascii="Times New Roman" w:hAnsi="Times New Roman"/>
          <w:sz w:val="22"/>
          <w:szCs w:val="22"/>
        </w:rPr>
        <w:t xml:space="preserve"> </w:t>
      </w:r>
    </w:p>
    <w:sectPr w:rsidR="0091028B" w:rsidRPr="009729F8" w:rsidSect="004E54DA">
      <w:type w:val="continuous"/>
      <w:pgSz w:w="11906" w:h="16838" w:code="9"/>
      <w:pgMar w:top="1440" w:right="1080" w:bottom="1440" w:left="108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AD521" w14:textId="77777777" w:rsidR="00753318" w:rsidRDefault="00753318">
      <w:pPr>
        <w:spacing w:after="0"/>
      </w:pPr>
      <w:r>
        <w:separator/>
      </w:r>
    </w:p>
  </w:endnote>
  <w:endnote w:type="continuationSeparator" w:id="0">
    <w:p w14:paraId="4F9545E6" w14:textId="77777777" w:rsidR="00753318" w:rsidRDefault="007533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5C7E" w14:textId="77777777" w:rsidR="006468F4" w:rsidRDefault="006468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3B4761" w14:textId="77777777" w:rsidR="006468F4" w:rsidRDefault="00646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7AB18" w14:textId="77777777" w:rsidR="00753318" w:rsidRDefault="00753318">
      <w:pPr>
        <w:spacing w:after="0"/>
      </w:pPr>
      <w:r>
        <w:separator/>
      </w:r>
    </w:p>
  </w:footnote>
  <w:footnote w:type="continuationSeparator" w:id="0">
    <w:p w14:paraId="0AA5E66B" w14:textId="77777777" w:rsidR="00753318" w:rsidRDefault="007533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616F2C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O0NDe0NDQztLQ0MTVV0lEKTi0uzszPAykwqQUAgVdI+ywAAAA="/>
  </w:docVars>
  <w:rsids>
    <w:rsidRoot w:val="00B62A75"/>
    <w:rsid w:val="00054174"/>
    <w:rsid w:val="00060DD4"/>
    <w:rsid w:val="00061E1C"/>
    <w:rsid w:val="00075F93"/>
    <w:rsid w:val="000A60FF"/>
    <w:rsid w:val="000D139F"/>
    <w:rsid w:val="000D3D98"/>
    <w:rsid w:val="000D6A3A"/>
    <w:rsid w:val="000E1F65"/>
    <w:rsid w:val="000F10CD"/>
    <w:rsid w:val="00110DE8"/>
    <w:rsid w:val="00153B3A"/>
    <w:rsid w:val="00193DAF"/>
    <w:rsid w:val="001A6119"/>
    <w:rsid w:val="001B53C8"/>
    <w:rsid w:val="001B7A40"/>
    <w:rsid w:val="001C2E41"/>
    <w:rsid w:val="001C611A"/>
    <w:rsid w:val="001D5C56"/>
    <w:rsid w:val="001E0B94"/>
    <w:rsid w:val="00202C77"/>
    <w:rsid w:val="002117B9"/>
    <w:rsid w:val="00213323"/>
    <w:rsid w:val="00231B9E"/>
    <w:rsid w:val="00233D93"/>
    <w:rsid w:val="0026479B"/>
    <w:rsid w:val="00284A68"/>
    <w:rsid w:val="002A1452"/>
    <w:rsid w:val="002A33B4"/>
    <w:rsid w:val="002B7B94"/>
    <w:rsid w:val="002E42ED"/>
    <w:rsid w:val="003176EA"/>
    <w:rsid w:val="00332B24"/>
    <w:rsid w:val="003374E3"/>
    <w:rsid w:val="00363D3E"/>
    <w:rsid w:val="00370D0D"/>
    <w:rsid w:val="00371B25"/>
    <w:rsid w:val="003816EE"/>
    <w:rsid w:val="003B0993"/>
    <w:rsid w:val="003C1EA7"/>
    <w:rsid w:val="003F60CB"/>
    <w:rsid w:val="00404C01"/>
    <w:rsid w:val="00404E32"/>
    <w:rsid w:val="004162EC"/>
    <w:rsid w:val="00436B4D"/>
    <w:rsid w:val="00440891"/>
    <w:rsid w:val="00475A78"/>
    <w:rsid w:val="004A5E85"/>
    <w:rsid w:val="004D1681"/>
    <w:rsid w:val="004E54DA"/>
    <w:rsid w:val="00532D22"/>
    <w:rsid w:val="0053691B"/>
    <w:rsid w:val="00537C21"/>
    <w:rsid w:val="00552133"/>
    <w:rsid w:val="00562C02"/>
    <w:rsid w:val="00564EC3"/>
    <w:rsid w:val="00570251"/>
    <w:rsid w:val="00571194"/>
    <w:rsid w:val="00574D21"/>
    <w:rsid w:val="00575FB5"/>
    <w:rsid w:val="00593F43"/>
    <w:rsid w:val="005A462E"/>
    <w:rsid w:val="005A4970"/>
    <w:rsid w:val="005A4B8E"/>
    <w:rsid w:val="005B7DC3"/>
    <w:rsid w:val="005C2399"/>
    <w:rsid w:val="005D0DEB"/>
    <w:rsid w:val="006164F7"/>
    <w:rsid w:val="00643FA9"/>
    <w:rsid w:val="006468F4"/>
    <w:rsid w:val="00654193"/>
    <w:rsid w:val="00663743"/>
    <w:rsid w:val="00671C8B"/>
    <w:rsid w:val="00694435"/>
    <w:rsid w:val="006B1841"/>
    <w:rsid w:val="006B2042"/>
    <w:rsid w:val="006C7F8D"/>
    <w:rsid w:val="0073226F"/>
    <w:rsid w:val="00753318"/>
    <w:rsid w:val="00755D07"/>
    <w:rsid w:val="00760DE9"/>
    <w:rsid w:val="0076507C"/>
    <w:rsid w:val="007944E7"/>
    <w:rsid w:val="00797BA9"/>
    <w:rsid w:val="007B01D6"/>
    <w:rsid w:val="007B3668"/>
    <w:rsid w:val="007B3714"/>
    <w:rsid w:val="007D5568"/>
    <w:rsid w:val="007E3B26"/>
    <w:rsid w:val="00816113"/>
    <w:rsid w:val="008407AB"/>
    <w:rsid w:val="00840DB5"/>
    <w:rsid w:val="00845EA2"/>
    <w:rsid w:val="00850F01"/>
    <w:rsid w:val="008619C9"/>
    <w:rsid w:val="008713A2"/>
    <w:rsid w:val="008A5661"/>
    <w:rsid w:val="008D28F3"/>
    <w:rsid w:val="008E6AAC"/>
    <w:rsid w:val="008F18EC"/>
    <w:rsid w:val="008F5272"/>
    <w:rsid w:val="0090173A"/>
    <w:rsid w:val="0091028B"/>
    <w:rsid w:val="00914BD7"/>
    <w:rsid w:val="00942735"/>
    <w:rsid w:val="00957733"/>
    <w:rsid w:val="00971986"/>
    <w:rsid w:val="009729F8"/>
    <w:rsid w:val="00987A85"/>
    <w:rsid w:val="009A074C"/>
    <w:rsid w:val="009B0F39"/>
    <w:rsid w:val="009B2F48"/>
    <w:rsid w:val="009E10CC"/>
    <w:rsid w:val="00A07BD2"/>
    <w:rsid w:val="00A158DC"/>
    <w:rsid w:val="00A415D8"/>
    <w:rsid w:val="00A41836"/>
    <w:rsid w:val="00A63F0A"/>
    <w:rsid w:val="00A80A35"/>
    <w:rsid w:val="00A80F49"/>
    <w:rsid w:val="00A87339"/>
    <w:rsid w:val="00A90D64"/>
    <w:rsid w:val="00AB12C9"/>
    <w:rsid w:val="00AB1EB2"/>
    <w:rsid w:val="00AB7473"/>
    <w:rsid w:val="00AD793F"/>
    <w:rsid w:val="00AF4541"/>
    <w:rsid w:val="00B1479F"/>
    <w:rsid w:val="00B236D4"/>
    <w:rsid w:val="00B37464"/>
    <w:rsid w:val="00B46B60"/>
    <w:rsid w:val="00B62A75"/>
    <w:rsid w:val="00B875A9"/>
    <w:rsid w:val="00B93D8F"/>
    <w:rsid w:val="00B94801"/>
    <w:rsid w:val="00BC1F71"/>
    <w:rsid w:val="00BE16AE"/>
    <w:rsid w:val="00C10BC4"/>
    <w:rsid w:val="00C20B68"/>
    <w:rsid w:val="00C25A80"/>
    <w:rsid w:val="00C41092"/>
    <w:rsid w:val="00C70332"/>
    <w:rsid w:val="00C72638"/>
    <w:rsid w:val="00C96869"/>
    <w:rsid w:val="00CA54C9"/>
    <w:rsid w:val="00CD0583"/>
    <w:rsid w:val="00CD48E0"/>
    <w:rsid w:val="00CF751F"/>
    <w:rsid w:val="00D128BD"/>
    <w:rsid w:val="00D1443A"/>
    <w:rsid w:val="00D22F9F"/>
    <w:rsid w:val="00D26615"/>
    <w:rsid w:val="00D40C11"/>
    <w:rsid w:val="00D4478D"/>
    <w:rsid w:val="00D46D37"/>
    <w:rsid w:val="00D60263"/>
    <w:rsid w:val="00D85337"/>
    <w:rsid w:val="00D87109"/>
    <w:rsid w:val="00D90447"/>
    <w:rsid w:val="00DA0574"/>
    <w:rsid w:val="00DB5EF8"/>
    <w:rsid w:val="00DD5990"/>
    <w:rsid w:val="00DD6D7A"/>
    <w:rsid w:val="00DD7491"/>
    <w:rsid w:val="00E007A5"/>
    <w:rsid w:val="00E06804"/>
    <w:rsid w:val="00E070D4"/>
    <w:rsid w:val="00E15AF1"/>
    <w:rsid w:val="00E21A50"/>
    <w:rsid w:val="00E23153"/>
    <w:rsid w:val="00E2409E"/>
    <w:rsid w:val="00E31AA0"/>
    <w:rsid w:val="00E4310D"/>
    <w:rsid w:val="00E437D1"/>
    <w:rsid w:val="00E51F84"/>
    <w:rsid w:val="00E6212B"/>
    <w:rsid w:val="00E86C2D"/>
    <w:rsid w:val="00E92411"/>
    <w:rsid w:val="00EB7ED7"/>
    <w:rsid w:val="00EC2B0E"/>
    <w:rsid w:val="00EE5E03"/>
    <w:rsid w:val="00EE7FA2"/>
    <w:rsid w:val="00EF1BFC"/>
    <w:rsid w:val="00EF22AC"/>
    <w:rsid w:val="00EF35E4"/>
    <w:rsid w:val="00EF5ADE"/>
    <w:rsid w:val="00EF67F9"/>
    <w:rsid w:val="00F53DB5"/>
    <w:rsid w:val="00F61CB3"/>
    <w:rsid w:val="00F63D61"/>
    <w:rsid w:val="00F82BD0"/>
    <w:rsid w:val="00F83115"/>
    <w:rsid w:val="00F91436"/>
    <w:rsid w:val="00FD201B"/>
    <w:rsid w:val="00FE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FBF0375"/>
  <w15:chartTrackingRefBased/>
  <w15:docId w15:val="{94EB72E0-FB5A-41B3-9A65-8FF1CBBA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lang w:val="en-GB" w:eastAsia="en-US"/>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emiHidden/>
  </w:style>
  <w:style w:type="paragraph" w:styleId="BodyTextIndent">
    <w:name w:val="Body Text Indent"/>
    <w:basedOn w:val="Normal"/>
    <w:link w:val="BodyTextIndentChar"/>
    <w:semiHidden/>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semiHidden/>
    <w:pPr>
      <w:framePr w:w="4680" w:h="2112" w:hRule="exact" w:hSpace="187" w:wrap="around" w:vAnchor="page" w:hAnchor="page" w:x="1155" w:y="12245" w:anchorLock="1"/>
      <w:spacing w:after="0"/>
    </w:pPr>
    <w:rPr>
      <w:sz w:val="16"/>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customStyle="1" w:styleId="BodyTextIndentChar">
    <w:name w:val="Body Text Indent Char"/>
    <w:link w:val="BodyTextIndent"/>
    <w:semiHidden/>
    <w:rsid w:val="00C20B68"/>
    <w:rPr>
      <w:sz w:val="18"/>
      <w:lang w:eastAsia="en-US"/>
    </w:rPr>
  </w:style>
  <w:style w:type="table" w:styleId="TableGrid">
    <w:name w:val="Table Grid"/>
    <w:basedOn w:val="TableNormal"/>
    <w:uiPriority w:val="39"/>
    <w:rsid w:val="00EC2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CA54C9"/>
    <w:rPr>
      <w:b/>
      <w:kern w:val="28"/>
      <w:sz w:val="24"/>
      <w:lang w:eastAsia="en-US"/>
    </w:rPr>
  </w:style>
  <w:style w:type="character" w:customStyle="1" w:styleId="Heading1Char">
    <w:name w:val="Heading 1 Char"/>
    <w:link w:val="Heading1"/>
    <w:uiPriority w:val="9"/>
    <w:rsid w:val="00571194"/>
    <w:rPr>
      <w:b/>
      <w:kern w:val="28"/>
      <w:sz w:val="24"/>
      <w:lang w:val="en-GB" w:eastAsia="en-US"/>
    </w:rPr>
  </w:style>
  <w:style w:type="paragraph" w:styleId="Bibliography">
    <w:name w:val="Bibliography"/>
    <w:basedOn w:val="Normal"/>
    <w:next w:val="Normal"/>
    <w:uiPriority w:val="37"/>
    <w:unhideWhenUsed/>
    <w:rsid w:val="0057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460">
      <w:bodyDiv w:val="1"/>
      <w:marLeft w:val="0"/>
      <w:marRight w:val="0"/>
      <w:marTop w:val="0"/>
      <w:marBottom w:val="0"/>
      <w:divBdr>
        <w:top w:val="none" w:sz="0" w:space="0" w:color="auto"/>
        <w:left w:val="none" w:sz="0" w:space="0" w:color="auto"/>
        <w:bottom w:val="none" w:sz="0" w:space="0" w:color="auto"/>
        <w:right w:val="none" w:sz="0" w:space="0" w:color="auto"/>
      </w:divBdr>
    </w:div>
    <w:div w:id="228855295">
      <w:bodyDiv w:val="1"/>
      <w:marLeft w:val="0"/>
      <w:marRight w:val="0"/>
      <w:marTop w:val="0"/>
      <w:marBottom w:val="0"/>
      <w:divBdr>
        <w:top w:val="none" w:sz="0" w:space="0" w:color="auto"/>
        <w:left w:val="none" w:sz="0" w:space="0" w:color="auto"/>
        <w:bottom w:val="none" w:sz="0" w:space="0" w:color="auto"/>
        <w:right w:val="none" w:sz="0" w:space="0" w:color="auto"/>
      </w:divBdr>
    </w:div>
    <w:div w:id="1336305487">
      <w:bodyDiv w:val="1"/>
      <w:marLeft w:val="0"/>
      <w:marRight w:val="0"/>
      <w:marTop w:val="0"/>
      <w:marBottom w:val="0"/>
      <w:divBdr>
        <w:top w:val="none" w:sz="0" w:space="0" w:color="auto"/>
        <w:left w:val="none" w:sz="0" w:space="0" w:color="auto"/>
        <w:bottom w:val="none" w:sz="0" w:space="0" w:color="auto"/>
        <w:right w:val="none" w:sz="0" w:space="0" w:color="auto"/>
      </w:divBdr>
    </w:div>
    <w:div w:id="1460299429">
      <w:bodyDiv w:val="1"/>
      <w:marLeft w:val="0"/>
      <w:marRight w:val="0"/>
      <w:marTop w:val="0"/>
      <w:marBottom w:val="0"/>
      <w:divBdr>
        <w:top w:val="none" w:sz="0" w:space="0" w:color="auto"/>
        <w:left w:val="none" w:sz="0" w:space="0" w:color="auto"/>
        <w:bottom w:val="none" w:sz="0" w:space="0" w:color="auto"/>
        <w:right w:val="none" w:sz="0" w:space="0" w:color="auto"/>
      </w:divBdr>
    </w:div>
    <w:div w:id="1693190427">
      <w:bodyDiv w:val="1"/>
      <w:marLeft w:val="0"/>
      <w:marRight w:val="0"/>
      <w:marTop w:val="0"/>
      <w:marBottom w:val="0"/>
      <w:divBdr>
        <w:top w:val="none" w:sz="0" w:space="0" w:color="auto"/>
        <w:left w:val="none" w:sz="0" w:space="0" w:color="auto"/>
        <w:bottom w:val="none" w:sz="0" w:space="0" w:color="auto"/>
        <w:right w:val="none" w:sz="0" w:space="0" w:color="auto"/>
      </w:divBdr>
    </w:div>
    <w:div w:id="1752506445">
      <w:bodyDiv w:val="1"/>
      <w:marLeft w:val="0"/>
      <w:marRight w:val="0"/>
      <w:marTop w:val="0"/>
      <w:marBottom w:val="0"/>
      <w:divBdr>
        <w:top w:val="none" w:sz="0" w:space="0" w:color="auto"/>
        <w:left w:val="none" w:sz="0" w:space="0" w:color="auto"/>
        <w:bottom w:val="none" w:sz="0" w:space="0" w:color="auto"/>
        <w:right w:val="none" w:sz="0" w:space="0" w:color="auto"/>
      </w:divBdr>
    </w:div>
    <w:div w:id="18088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Dep22</b:Tag>
    <b:SourceType>InternetSite</b:SourceType>
    <b:Guid>{0E5D10D7-2F29-4FD3-8231-48808620FE03}</b:Guid>
    <b:Title>National statistics GOV.UK</b:Title>
    <b:Year>2022</b:Year>
    <b:Author>
      <b:Author>
        <b:NameList>
          <b:Person>
            <b:Last>Department for Business</b:Last>
            <b:First>Energy</b:First>
            <b:Middle>&amp; Industrial Strategy</b:Middle>
          </b:Person>
        </b:NameList>
      </b:Author>
    </b:Author>
    <b:URL>https://www.gov.uk/government/statistics/gas-section-4-energy-trends</b:URL>
    <b:RefOrder>1</b:RefOrder>
  </b:Source>
  <b:Source>
    <b:Tag>BP21</b:Tag>
    <b:SourceType>InternetSite</b:SourceType>
    <b:Guid>{61D92364-0DF1-400C-95E0-572F2F3D68CC}</b:Guid>
    <b:Author>
      <b:Author>
        <b:NameList>
          <b:Person>
            <b:Last>BP</b:Last>
          </b:Person>
        </b:NameList>
      </b:Author>
    </b:Author>
    <b:Title>Statistical Review of World Energy</b:Title>
    <b:Year>2021</b:Year>
    <b:URL>https://www.bp.com/en/global/corporate/energy-economics/statistical-review-of-world-energy.html</b:URL>
    <b:RefOrder>2</b:RefOrder>
  </b:Source>
</b:Sources>
</file>

<file path=customXml/itemProps1.xml><?xml version="1.0" encoding="utf-8"?>
<ds:datastoreItem xmlns:ds="http://schemas.openxmlformats.org/officeDocument/2006/customXml" ds:itemID="{360FAF72-94B4-486C-90B0-75C0E22A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Dan Pham (ECO - Student)</cp:lastModifiedBy>
  <cp:revision>188</cp:revision>
  <cp:lastPrinted>2003-11-04T12:08:00Z</cp:lastPrinted>
  <dcterms:created xsi:type="dcterms:W3CDTF">2022-05-14T09:48:00Z</dcterms:created>
  <dcterms:modified xsi:type="dcterms:W3CDTF">2022-05-17T10:28:00Z</dcterms:modified>
</cp:coreProperties>
</file>