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0"/>
        <w:jc w:val="center"/>
      </w:pPr>
      <w:r>
        <w:rPr>
          <w:rFonts w:ascii="Arial" w:cs="Arial" w:eastAsia="Arial" w:hAnsi="Arial"/>
          <w:color w:val="1A73E8"/>
          <w:sz w:val="160"/>
          <w:szCs w:val="160"/>
        </w:rPr>
        <w:t xml:space="preserve">☁</w:t>
      </w:r>
    </w:p>
    <w:p>
      <w:pPr>
        <w:spacing w:before="200" w:after="40"/>
        <w:jc w:val="center"/>
      </w:pPr>
      <w:r>
        <w:rPr>
          <w:rFonts w:ascii="Arial" w:cs="Arial" w:eastAsia="Arial" w:hAnsi="Arial"/>
          <w:b/>
          <w:bCs/>
          <w:color w:val="1C2B4A"/>
          <w:sz w:val="56"/>
          <w:szCs w:val="56"/>
        </w:rPr>
        <w:t xml:space="preserve">Enterprise GKE Platform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A73E8"/>
          <w:sz w:val="32"/>
          <w:szCs w:val="32"/>
        </w:rPr>
        <w:t xml:space="preserve">Platform Architecture &amp; Overview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5F6368"/>
          <w:sz w:val="22"/>
          <w:szCs w:val="22"/>
        </w:rPr>
        <w:t xml:space="preserve">Version 1.0  |  February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</w:tcPr>
          <w:p/>
        </w:tc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B4A"/>
                <w:sz w:val="20"/>
                <w:szCs w:val="20"/>
              </w:rPr>
              <w:t xml:space="preserve">Cloud: Google Cloud Platform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C2B4A"/>
                <w:sz w:val="20"/>
                <w:szCs w:val="20"/>
              </w:rPr>
              <w:t xml:space="preserve">Platform: GKE Standard, Multi-Region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C2B4A"/>
                <w:sz w:val="20"/>
                <w:szCs w:val="20"/>
              </w:rPr>
              <w:t xml:space="preserve">IaC: Terraform  |  GitOps: ArgoCD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C2B4A"/>
                <w:sz w:val="20"/>
                <w:szCs w:val="20"/>
              </w:rPr>
              <w:t xml:space="preserve">Environments: dev · staging · prod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</w:tcPr>
          <w:p/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C2B4A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"undefined,1,undefined,2,undefined,3"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C2B4A"/>
          <w:sz w:val="36"/>
          <w:szCs w:val="36"/>
        </w:rPr>
        <w:t xml:space="preserve">1. Executive Summary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This document describes the architecture of the Enterprise Kubernetes Platform built on Google Kubernetes Engine (GKE). The platform provides application teams with a secure, scalable, and observable foundation for deploying containerized workloads, while enabling the platform team to enforce organization-wide policies and maintain operational excellence.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/>
      </w:r>
    </w:p>
    <w:p>
      <w:pPr>
        <w:pBdr>
          <w:left w:val="single" w:color="1A73E8" w:sz="12" w:space="1"/>
        </w:pBdr>
        <w:shd w:fill="E8F0FE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202124"/>
          <w:sz w:val="20"/>
          <w:szCs w:val="20"/>
        </w:rPr>
        <w:t xml:space="preserve">The platform is designed for multi-tenant, multi-region operation with security-by-default, GitOps-driven deployments, and full observability built in from day one.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Platform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Provide a consistent, self-service developer experience across all teams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Enforce security and compliance requirements without slowing down delivery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Support 99.99% availability SLA for production workloads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Enable zero-trust networking and Workload Identity for all services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Reduce infrastructure toil through full automation and GitOps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Provide per-team cost visibility and chargeback capability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</w:tr>
      <w:t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Cluster Availability SLA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99.95%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99.97%</w:t>
            </w:r>
          </w:p>
        </w:tc>
      </w:tr>
      <w:t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Deployment Frequency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On-demand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~40/day</w:t>
            </w:r>
          </w:p>
        </w:tc>
      </w:tr>
      <w:t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Mean Time to Recovery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&lt; 15 min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8 min avg</w:t>
            </w:r>
          </w:p>
        </w:tc>
      </w:tr>
      <w:t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Security Policy Compliance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Node Utilization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&gt; 60%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68%</w:t>
            </w:r>
          </w:p>
        </w:tc>
      </w:tr>
      <w:t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Cost vs. On-Demand Baseline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-40%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-43%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C2B4A"/>
          <w:sz w:val="36"/>
          <w:szCs w:val="36"/>
        </w:rPr>
        <w:t xml:space="preserve">2. GCP Organization Structure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The platform uses a hub-and-spoke GCP resource hierarchy designed for isolation, compliance scoping, and independent billing per team.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Project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Resources</w:t>
            </w:r>
          </w:p>
        </w:tc>
      </w:tr>
      <w:tr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shared-vpc-host</w:t>
            </w:r>
          </w:p>
        </w:tc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Network host project</w:t>
            </w:r>
          </w:p>
        </w:tc>
        <w:tc>
          <w:tcPr>
            <w:tcW w:type="dxa" w:w="3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VPC, subnets, NAT, Cloud Armor</w:t>
            </w:r>
          </w:p>
        </w:tc>
      </w:tr>
      <w:tr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gke-cluster-prod</w:t>
            </w:r>
          </w:p>
        </w:tc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Production cluster</w:t>
            </w:r>
          </w:p>
        </w:tc>
        <w:tc>
          <w:tcPr>
            <w:tcW w:type="dxa" w:w="3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GKE clusters, KMS keys, Pub/Sub</w:t>
            </w:r>
          </w:p>
        </w:tc>
      </w:tr>
      <w:tr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gke-cluster-staging</w:t>
            </w:r>
          </w:p>
        </w:tc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Staging cluster</w:t>
            </w:r>
          </w:p>
        </w:tc>
        <w:tc>
          <w:tcPr>
            <w:tcW w:type="dxa" w:w="3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GKE clusters</w:t>
            </w:r>
          </w:p>
        </w:tc>
      </w:tr>
      <w:tr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gke-cluster-dev</w:t>
            </w:r>
          </w:p>
        </w:tc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Dev cluster</w:t>
            </w:r>
          </w:p>
        </w:tc>
        <w:tc>
          <w:tcPr>
            <w:tcW w:type="dxa" w:w="3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GKE clusters (spot nodes)</w:t>
            </w:r>
          </w:p>
        </w:tc>
      </w:tr>
      <w:tr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shared-services</w:t>
            </w:r>
          </w:p>
        </w:tc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Shared tooling</w:t>
            </w:r>
          </w:p>
        </w:tc>
        <w:tc>
          <w:tcPr>
            <w:tcW w:type="dxa" w:w="3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Artifact Registry, KMS, Billing</w:t>
            </w:r>
          </w:p>
        </w:tc>
      </w:tr>
      <w:tr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team-payments</w:t>
            </w:r>
          </w:p>
        </w:tc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Payments team</w:t>
            </w:r>
          </w:p>
        </w:tc>
        <w:tc>
          <w:tcPr>
            <w:tcW w:type="dxa" w:w="3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App-specific resources, IAM</w:t>
            </w:r>
          </w:p>
        </w:tc>
      </w:tr>
      <w:tr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team-identity</w:t>
            </w:r>
          </w:p>
        </w:tc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Identity team</w:t>
            </w:r>
          </w:p>
        </w:tc>
        <w:tc>
          <w:tcPr>
            <w:tcW w:type="dxa" w:w="3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App-specific resources, IAM</w:t>
            </w:r>
          </w:p>
        </w:tc>
      </w:tr>
      <w:tr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team-data</w:t>
            </w:r>
          </w:p>
        </w:tc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Data team</w:t>
            </w:r>
          </w:p>
        </w:tc>
        <w:tc>
          <w:tcPr>
            <w:tcW w:type="dxa" w:w="3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BigQuery, GCS, App resources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Design Rationale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Blast radius isolation — a compromised project cannot affect others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Separate billing quotas and limits per team for accountability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Compliance boundary enforcement (PCI scope limited to team-payments)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Shared VPC enables central network control without duplicating infrastructure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C2B4A"/>
          <w:sz w:val="36"/>
          <w:szCs w:val="36"/>
        </w:rPr>
        <w:t xml:space="preserve">3. Network Architecture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All clusters use Shared VPC, where the network host project owns all networking resources and cluster projects attach as service projects. This ensures central visibility and control over all traffic.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IP Address 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60"/>
        <w:gridCol w:w="2200"/>
        <w:gridCol w:w="2200"/>
      </w:tblGrid>
      <w:tr>
        <w:trPr>
          <w:tblHeader/>
        </w:trPr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Subnet</w:t>
            </w:r>
          </w:p>
        </w:tc>
        <w:tc>
          <w:tcPr>
            <w:tcW w:type="dxa" w:w="2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Nodes CIDR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Pods CIDR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Services CIDR</w:t>
            </w:r>
          </w:p>
        </w:tc>
      </w:tr>
      <w:tr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gke-prod-primary (europe-west1)</w:t>
            </w:r>
          </w:p>
        </w:tc>
        <w:tc>
          <w:tcPr>
            <w:tcW w:type="dxa" w:w="2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10.0.0.0/20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10.4.0.0/14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10.0.16.0/20</w:t>
            </w:r>
          </w:p>
        </w:tc>
      </w:tr>
      <w:tr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gke-prod-dr (us-central1)</w:t>
            </w:r>
          </w:p>
        </w:tc>
        <w:tc>
          <w:tcPr>
            <w:tcW w:type="dxa" w:w="2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10.1.0.0/20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10.8.0.0/14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10.1.16.0/20</w:t>
            </w:r>
          </w:p>
        </w:tc>
      </w:tr>
      <w:tr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gke-staging (europe-west1)</w:t>
            </w:r>
          </w:p>
        </w:tc>
        <w:tc>
          <w:tcPr>
            <w:tcW w:type="dxa" w:w="2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10.2.0.0/20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10.12.0.0/14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10.2.16.0/20</w:t>
            </w:r>
          </w:p>
        </w:tc>
      </w:tr>
      <w:tr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gke-dev (europe-west1)</w:t>
            </w:r>
          </w:p>
        </w:tc>
        <w:tc>
          <w:tcPr>
            <w:tcW w:type="dxa" w:w="2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10.3.0.0/20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10.16.0.0/14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10.3.16.0/20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Traffic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External traffic → Cloud Armor WAF → Global Load Balancer → GKE Ingress → Service → Pod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East-west traffic → Anthos Service Mesh (mTLS enforced) → NetworkPolicy enforcement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Egress traffic → Cloud NAT → Internet (no direct node IPs)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Control plane access → Master Authorized Networks (VPN/on-prem CIDRs only)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Key Network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60"/>
        <w:gridCol w:w="4000"/>
      </w:tblGrid>
      <w:tr>
        <w:trPr>
          <w:tblHeader/>
        </w:trPr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Node visibility</w:t>
            </w:r>
          </w:p>
        </w:tc>
        <w:tc>
          <w:tcPr>
            <w:tcW w:type="dxa" w:w="2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Private nodes</w:t>
            </w:r>
          </w:p>
        </w:tc>
        <w:tc>
          <w:tcPr>
            <w:tcW w:type="dxa" w:w="4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No public IPs on any node</w:t>
            </w:r>
          </w:p>
        </w:tc>
      </w:tr>
      <w:tr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API server access</w:t>
            </w:r>
          </w:p>
        </w:tc>
        <w:tc>
          <w:tcPr>
            <w:tcW w:type="dxa" w:w="2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Master Authorized Networks</w:t>
            </w:r>
          </w:p>
        </w:tc>
        <w:tc>
          <w:tcPr>
            <w:tcW w:type="dxa" w:w="4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Restricted to VPN/on-prem CIDRs</w:t>
            </w:r>
          </w:p>
        </w:tc>
      </w:tr>
      <w:tr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Egress</w:t>
            </w:r>
          </w:p>
        </w:tc>
        <w:tc>
          <w:tcPr>
            <w:tcW w:type="dxa" w:w="2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Cloud NAT</w:t>
            </w:r>
          </w:p>
        </w:tc>
        <w:tc>
          <w:tcPr>
            <w:tcW w:type="dxa" w:w="4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Controlled, auditable outbound traffic</w:t>
            </w:r>
          </w:p>
        </w:tc>
      </w:tr>
      <w:tr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Dataplane</w:t>
            </w:r>
          </w:p>
        </w:tc>
        <w:tc>
          <w:tcPr>
            <w:tcW w:type="dxa" w:w="2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GKE Dataplane V2 (eBPF)</w:t>
            </w:r>
          </w:p>
        </w:tc>
        <w:tc>
          <w:tcPr>
            <w:tcW w:type="dxa" w:w="4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NetworkPolicy enforcement at kernel level</w:t>
            </w:r>
          </w:p>
        </w:tc>
      </w:tr>
      <w:tr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DNS</w:t>
            </w:r>
          </w:p>
        </w:tc>
        <w:tc>
          <w:tcPr>
            <w:tcW w:type="dxa" w:w="2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Cloud DNS private zones</w:t>
            </w:r>
          </w:p>
        </w:tc>
        <w:tc>
          <w:tcPr>
            <w:tcW w:type="dxa" w:w="4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Internal service discovery across namespaces</w:t>
            </w:r>
          </w:p>
        </w:tc>
      </w:tr>
      <w:tr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Service mesh</w:t>
            </w:r>
          </w:p>
        </w:tc>
        <w:tc>
          <w:tcPr>
            <w:tcW w:type="dxa" w:w="2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Anthos Service Mesh</w:t>
            </w:r>
          </w:p>
        </w:tc>
        <w:tc>
          <w:tcPr>
            <w:tcW w:type="dxa" w:w="4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mTLS, traffic management, observability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C2B4A"/>
          <w:sz w:val="36"/>
          <w:szCs w:val="36"/>
        </w:rPr>
        <w:t xml:space="preserve">4. GKE Cluster Configuration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One regional GKE Standard cluster per environment. Regional clusters distribute the control plane and node pools across three availability zones, achieving a 99.95% API server SLA.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Cluster Defaults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Cluster type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Standard (regional, private)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Release channel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REGULAR (prod) / RAPID (dev)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Private nodes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Enabled — no public node IPs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Workload Identity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Enabled — all pods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etcd encryption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Cloud KMS (CMEK, 90-day rotation)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Shielded nodes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Enabled — Secure Boot + Integrity Monitoring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Binary Authorization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ENFORCED (prod) / AUDIT only (dev)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Dataplane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V2 — eBPF/Cilium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Managed Prometheus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Enabled — zero config metrics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Logging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SYSTEM + WORKLOAD + APISERVER → Cloud Logging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Maintenance window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Saturday–Sunday 02:00–06:00 UTC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Node Pool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0"/>
        <w:gridCol w:w="2200"/>
        <w:gridCol w:w="1800"/>
        <w:gridCol w:w="1600"/>
        <w:gridCol w:w="1800"/>
      </w:tblGrid>
      <w:tr>
        <w:trPr>
          <w:tblHeader/>
        </w:trPr>
        <w:tc>
          <w:tcPr>
            <w:tcW w:type="dxa" w:w="1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Pool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Machine Type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Min/Max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Spot?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system-pool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n2-standard-4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1 / 3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Platform components</w:t>
            </w:r>
          </w:p>
        </w:tc>
      </w:tr>
      <w:tr>
        <w:tc>
          <w:tcPr>
            <w:tcW w:type="dxa" w:w="1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general-pool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n2-standard-8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1 / 20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App workloads</w:t>
            </w:r>
          </w:p>
        </w:tc>
      </w:tr>
      <w:tr>
        <w:tc>
          <w:tcPr>
            <w:tcW w:type="dxa" w:w="1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spot-pool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n2-standard-8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0 / 50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Batch / stateless</w:t>
            </w:r>
          </w:p>
        </w:tc>
      </w:tr>
      <w:tr>
        <w:tc>
          <w:tcPr>
            <w:tcW w:type="dxa" w:w="1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memory-pool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n2-highmem-16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0 / 10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ML / data heavy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C2B4A"/>
          <w:sz w:val="36"/>
          <w:szCs w:val="36"/>
        </w:rPr>
        <w:t xml:space="preserve">5. Security Architecture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Security is layered across every level of the stack, from GCP organization policies to individual pod configurations. The zero-trust model is enforced — every component authenticates, every connection is encrypted.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Security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Controls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6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Org policies: no public IPs, no SA keys, restrict regions, require OS Login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Network</w:t>
            </w:r>
          </w:p>
        </w:tc>
        <w:tc>
          <w:tcPr>
            <w:tcW w:type="dxa" w:w="6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Shared VPC, Cloud Armor WAF, Private nodes, VPC Service Controls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Cluster</w:t>
            </w:r>
          </w:p>
        </w:tc>
        <w:tc>
          <w:tcPr>
            <w:tcW w:type="dxa" w:w="6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Binary Authorization, Shielded nodes, etcd CMEK, Workload Identity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Pod</w:t>
            </w:r>
          </w:p>
        </w:tc>
        <w:tc>
          <w:tcPr>
            <w:tcW w:type="dxa" w:w="6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Pod Security Standards (restricted), seccomp, dropped capabilities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Identity</w:t>
            </w:r>
          </w:p>
        </w:tc>
        <w:tc>
          <w:tcPr>
            <w:tcW w:type="dxa" w:w="6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Workload Identity — pods assume GCP SA via projected tokens, no key files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Image supply chain</w:t>
            </w:r>
          </w:p>
        </w:tc>
        <w:tc>
          <w:tcPr>
            <w:tcW w:type="dxa" w:w="6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Cloud Build signing → Artifact Registry → Binary Authorization enforcement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Secrets</w:t>
            </w:r>
          </w:p>
        </w:tc>
        <w:tc>
          <w:tcPr>
            <w:tcW w:type="dxa" w:w="6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External Secrets Operator + Secret Manager (secrets never in etcd)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East-west traffic</w:t>
            </w:r>
          </w:p>
        </w:tc>
        <w:tc>
          <w:tcPr>
            <w:tcW w:type="dxa" w:w="6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Anthos Service Mesh — mTLS enforced between all services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Pod Security Standard (Restricted)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All namespaces enforce the Kubernetes restricted Pod Security Standard. Pods that violate these rules are rejected at admission.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No privilege escalation allowed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Containers must run as non-root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Read-only root filesystem recommended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All Linux capabilities dropped; only NET_BIND_SERVICE may be added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seccomp profile: RuntimeDefault or Localhost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Host namespaces (PID, network, IPC) not allowed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Image Supply Chain Security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Every image that reaches production must be built and signed by the official CI pipeline. The flow is enforced by Binary Authorization at the Kubernetes admission webhook level.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Cloud Build compiles and signs each image with a KMS-backed attestor 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Artifact Registry runs automatic vulnerability scanning (Container Analysis)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Binary Authorization policy blocks any unsigned or unscanned image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GKE system images are exempt via a cluster-specific allow rule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C2B4A"/>
          <w:sz w:val="36"/>
          <w:szCs w:val="36"/>
        </w:rPr>
        <w:t xml:space="preserve">6. Multi-tenancy Model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Application teams operate in isolated Kubernetes namespaces. The platform team owns the control plane; teams own their namespaces and the resources within them. Strong boundaries are enforced via ResourceQuotas, NetworkPolicies, RBAC, and Pod Security Standards.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Per-Team Namespace Resources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ResourceQuota — hard limits on CPU, memory, pods, services, secrets,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LimitRange — default requests/limits injected into containers that do not specify them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NetworkPolicy — default-deny-all ingress and egress; explicit allows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RBAC Roles — namespace-admin, developer, viewer bound to Google Groups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Kubernetes Service Account — linked to a dedicated GCP Service Account via Workload Identity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RBAC Role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Bound To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platform-admin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Platform team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Full cluster access</w:t>
            </w:r>
          </w:p>
        </w:tc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Cluster-wide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namespace-admin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Team leads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All resources in namespace</w:t>
            </w:r>
          </w:p>
        </w:tc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Namespace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developer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Team developers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Read, exec, deploy updates</w:t>
            </w:r>
          </w:p>
        </w:tc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Namespace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viewer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Stakeholders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Read-only all resources</w:t>
            </w:r>
          </w:p>
        </w:tc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Namespace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Default Resource Quota (per team)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Requests (guaranteed)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Limits (max)</w:t>
            </w:r>
          </w:p>
        </w:tc>
      </w:tr>
      <w:t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CPU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10 cores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20 cores</w:t>
            </w:r>
          </w:p>
        </w:tc>
      </w:tr>
      <w:t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Memory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20 GiB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40 GiB</w:t>
            </w:r>
          </w:p>
        </w:tc>
      </w:tr>
      <w:t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Pods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Services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Secrets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Storage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500 GiB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C2B4A"/>
          <w:sz w:val="36"/>
          <w:szCs w:val="36"/>
        </w:rPr>
        <w:t xml:space="preserve">7. High Availability &amp; Disaster Recovery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Production workloads run in a dual-region active/active configuration. Traffic is distributed globally via Multi-cluster Ingress, and failover is automatic when a region becomes unhealthy.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HA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Primary cluster: europe-west1 (regional, 3 zones)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DR cluster: us-central1 (regional, 3 zones)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Multi-cluster Ingress distributes traffic with health-based routing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Config Sync keeps both clusters in sync from the same Git source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Stateful data uses Cloud Spanner (global) or Cloud SQL with cross-region replicas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Recovery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RTO Target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RPO Target</w:t>
            </w:r>
          </w:p>
        </w:tc>
      </w:tr>
      <w:t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Node failure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&lt; 2 min (autoscaling)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Zero (stateless)</w:t>
            </w:r>
          </w:p>
        </w:tc>
      </w:tr>
      <w:t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Zone failure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&lt; 5 min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Zero (stateless)</w:t>
            </w:r>
          </w:p>
        </w:tc>
      </w:tr>
      <w:t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Region failure (stateless)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&lt; 5 min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Zero</w:t>
            </w:r>
          </w:p>
        </w:tc>
      </w:tr>
      <w:t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Region failure (stateful)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&lt; 15 min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&lt; 1 min (Spanner)</w:t>
            </w:r>
          </w:p>
        </w:tc>
      </w:tr>
      <w:t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Full cluster rebuild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&lt; 45 min (Terraform)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From last state backup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C2B4A"/>
          <w:sz w:val="36"/>
          <w:szCs w:val="36"/>
        </w:rPr>
        <w:t xml:space="preserve">8. Observability Stack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Every workload emits structured logs, metrics, and traces from day one. The platform provides a managed observability stack that requires no per-team configuration.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Observability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4200"/>
      </w:tblGrid>
      <w:tr>
        <w:trPr>
          <w:tblHeader/>
        </w:trPr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Collector</w:t>
            </w:r>
          </w:p>
        </w:tc>
        <w:tc>
          <w:tcPr>
            <w:tcW w:type="dxa" w:w="4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Logs</w:t>
            </w:r>
          </w:p>
        </w:tc>
        <w:tc>
          <w:tcPr>
            <w:tcW w:type="dxa" w:w="3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Fluent Bit DaemonSet</w:t>
            </w:r>
          </w:p>
        </w:tc>
        <w:tc>
          <w:tcPr>
            <w:tcW w:type="dxa" w:w="4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Cloud Logging → Log-based metrics</w:t>
            </w:r>
          </w:p>
        </w:tc>
      </w:tr>
      <w:tr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Metrics</w:t>
            </w:r>
          </w:p>
        </w:tc>
        <w:tc>
          <w:tcPr>
            <w:tcW w:type="dxa" w:w="3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Managed Prometheus</w:t>
            </w:r>
          </w:p>
        </w:tc>
        <w:tc>
          <w:tcPr>
            <w:tcW w:type="dxa" w:w="4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Cloud Monitoring + Grafana</w:t>
            </w:r>
          </w:p>
        </w:tc>
      </w:tr>
      <w:tr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Traces</w:t>
            </w:r>
          </w:p>
        </w:tc>
        <w:tc>
          <w:tcPr>
            <w:tcW w:type="dxa" w:w="3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OpenTelemetry Collector</w:t>
            </w:r>
          </w:p>
        </w:tc>
        <w:tc>
          <w:tcPr>
            <w:tcW w:type="dxa" w:w="4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Cloud Trace</w:t>
            </w:r>
          </w:p>
        </w:tc>
      </w:tr>
      <w:tr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Alerting</w:t>
            </w:r>
          </w:p>
        </w:tc>
        <w:tc>
          <w:tcPr>
            <w:tcW w:type="dxa" w:w="3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Cloud Alerting</w:t>
            </w:r>
          </w:p>
        </w:tc>
        <w:tc>
          <w:tcPr>
            <w:tcW w:type="dxa" w:w="4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PagerDuty integration</w:t>
            </w:r>
          </w:p>
        </w:tc>
      </w:tr>
      <w:tr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Dashboards</w:t>
            </w:r>
          </w:p>
        </w:tc>
        <w:tc>
          <w:tcPr>
            <w:tcW w:type="dxa" w:w="3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Grafana</w:t>
            </w:r>
          </w:p>
        </w:tc>
        <w:tc>
          <w:tcPr>
            <w:tcW w:type="dxa" w:w="4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Cluster, SLO, cost, security views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Alert Severity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760"/>
        <w:gridCol w:w="4400"/>
      </w:tblGrid>
      <w:tr>
        <w:trPr>
          <w:tblHeader/>
        </w:trPr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Triggers</w:t>
            </w:r>
          </w:p>
        </w:tc>
        <w:tc>
          <w:tcPr>
            <w:tcW w:type="dxa" w:w="4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SLA</w:t>
            </w:r>
          </w:p>
        </w:tc>
      </w:tr>
      <w:tr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P1</w:t>
            </w:r>
          </w:p>
        </w:tc>
        <w:tc>
          <w:tcPr>
            <w:tcW w:type="dxa" w:w="3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API server down, &gt;50% CrashLoop, region failover</w:t>
            </w:r>
          </w:p>
        </w:tc>
        <w:tc>
          <w:tcPr>
            <w:tcW w:type="dxa" w:w="4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Page immediately, respond in 5 min</w:t>
            </w:r>
          </w:p>
        </w:tc>
      </w:tr>
      <w:tr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P2</w:t>
            </w:r>
          </w:p>
        </w:tc>
        <w:tc>
          <w:tcPr>
            <w:tcW w:type="dxa" w:w="3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Node NotReady, PVC pending &gt;10min, cert expiry &lt;7d</w:t>
            </w:r>
          </w:p>
        </w:tc>
        <w:tc>
          <w:tcPr>
            <w:tcW w:type="dxa" w:w="4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Page within 30 min</w:t>
            </w:r>
          </w:p>
        </w:tc>
      </w:tr>
      <w:tr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P3</w:t>
            </w:r>
          </w:p>
        </w:tc>
        <w:tc>
          <w:tcPr>
            <w:tcW w:type="dxa" w:w="3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HPA at max replicas, quota &gt;80%, pod restarts &gt;5</w:t>
            </w:r>
          </w:p>
        </w:tc>
        <w:tc>
          <w:tcPr>
            <w:tcW w:type="dxa" w:w="4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Ticket, resolve within 4h</w:t>
            </w:r>
          </w:p>
        </w:tc>
      </w:tr>
      <w:tr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P4</w:t>
            </w:r>
          </w:p>
        </w:tc>
        <w:tc>
          <w:tcPr>
            <w:tcW w:type="dxa" w:w="3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Deprecated API usage, config drift detected</w:t>
            </w:r>
          </w:p>
        </w:tc>
        <w:tc>
          <w:tcPr>
            <w:tcW w:type="dxa" w:w="4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Weekly digest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C2B4A"/>
          <w:sz w:val="36"/>
          <w:szCs w:val="36"/>
        </w:rPr>
        <w:t xml:space="preserve">9. GitOps &amp; CI/CD Pipeline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No manual kubectl apply in production. All cluster state is declared in Git and continuously reconciled by ArgoCD. Drift is detected and corrected automatically within seconds.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2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infra-platform</w:t>
            </w:r>
          </w:p>
        </w:tc>
        <w:tc>
          <w:tcPr>
            <w:tcW w:type="dxa" w:w="62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Terraform modules and environments (this repo)</w:t>
            </w:r>
          </w:p>
        </w:tc>
      </w:tr>
      <w:t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k8s-config</w:t>
            </w:r>
          </w:p>
        </w:tc>
        <w:tc>
          <w:tcPr>
            <w:tcW w:type="dxa" w:w="62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GitOps source — cluster config, namespaces, ArgoCD apps</w:t>
            </w:r>
          </w:p>
        </w:tc>
      </w:tr>
      <w:t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app-* (per team)</w:t>
            </w:r>
          </w:p>
        </w:tc>
        <w:tc>
          <w:tcPr>
            <w:tcW w:type="dxa" w:w="62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Application source code, Dockerfiles, Helm values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Deployment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Developer pushes code to feature branch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GitHub Actions runs: lint → unit test → security scan (Trivy, Semgrep) → build image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Signed image pushed to Artifact Registry with SHA digest tag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Automated PR opens in k8s-config to update the image tag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PR merged (auto-approved for non-prod, manual for prod)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ArgoCD detects the change and initiates a canary rollout via Argo Rollouts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Automated analysis gates check error rate and P99 latency against SLO thresholds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If analysis fails, rollout auto-reverts to previous revision within 2 minutes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Progressive Delivery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Wait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Canary 5%</w:t>
            </w:r>
          </w:p>
        </w:tc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Route 5% of traffic to new version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5 min analysis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Canary 25%</w:t>
            </w:r>
          </w:p>
        </w:tc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Increase to 25% if SLOs hold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10 min analysis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Canary 50%</w:t>
            </w:r>
          </w:p>
        </w:tc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Increase to 50%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10 min analysis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Full rollout</w:t>
            </w:r>
          </w:p>
        </w:tc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Promote to 100% traffic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Done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C2B4A"/>
          <w:sz w:val="36"/>
          <w:szCs w:val="36"/>
        </w:rPr>
        <w:t xml:space="preserve">10. Cost Management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The platform is designed for cost efficiency without compromising reliability. Multiple strategies are applied across the stack to reduce spend against on-demand baseline pricing.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Cost Optimization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960"/>
        <w:gridCol w:w="2600"/>
      </w:tblGrid>
      <w:tr>
        <w:trPr>
          <w:tblHeader/>
        </w:trPr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Savings</w:t>
            </w:r>
          </w:p>
        </w:tc>
      </w:tr>
      <w:tr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Spot instances</w:t>
            </w:r>
          </w:p>
        </w:tc>
        <w:tc>
          <w:tcPr>
            <w:tcW w:type="dxa" w:w="3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Spot node pool for stateless workloads</w:t>
            </w:r>
          </w:p>
        </w:tc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60–90%</w:t>
            </w:r>
          </w:p>
        </w:tc>
      </w:tr>
      <w:tr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Committed Use Discounts</w:t>
            </w:r>
          </w:p>
        </w:tc>
        <w:tc>
          <w:tcPr>
            <w:tcW w:type="dxa" w:w="3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CUDs on baseline node capacity</w:t>
            </w:r>
          </w:p>
        </w:tc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37–55%</w:t>
            </w:r>
          </w:p>
        </w:tc>
      </w:tr>
      <w:tr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Vertical Pod Autoscaler</w:t>
            </w:r>
          </w:p>
        </w:tc>
        <w:tc>
          <w:tcPr>
            <w:tcW w:type="dxa" w:w="3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Right-size container requests automatically</w:t>
            </w:r>
          </w:p>
        </w:tc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20–40%</w:t>
            </w:r>
          </w:p>
        </w:tc>
      </w:tr>
      <w:tr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Scale to zero</w:t>
            </w:r>
          </w:p>
        </w:tc>
        <w:tc>
          <w:tcPr>
            <w:tcW w:type="dxa" w:w="3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Dev/staging clusters auto-scale to 0 nodes overnight</w:t>
            </w:r>
          </w:p>
        </w:tc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30–50%</w:t>
            </w:r>
          </w:p>
        </w:tc>
      </w:tr>
      <w:tr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Node Auto-Provisioning</w:t>
            </w:r>
          </w:p>
        </w:tc>
        <w:tc>
          <w:tcPr>
            <w:tcW w:type="dxa" w:w="3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Optimal machine type selection per workload</w:t>
            </w:r>
          </w:p>
        </w:tc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10–20%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Cost Attribution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All resources carry the following labels for GKE cost allocation and BigQuery billing export chargeback reports: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team — owning team identifier (e.g. payments, identity, data)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environment — dev / staging / prod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cost-center — business unit for chargeback (e.g. payments-biz-unit)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managed-by — terraform (infrastructure resources)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C2B4A"/>
          <w:sz w:val="36"/>
          <w:szCs w:val="36"/>
        </w:rPr>
        <w:t xml:space="preserve">11. Technology Stack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Cloud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Google Cloud Platform</w:t>
            </w:r>
          </w:p>
        </w:tc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Multi-region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Kubernetes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GKE Standard</w:t>
            </w:r>
          </w:p>
        </w:tc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Regional, v1.29+ (REGULAR channel)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IaC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Terraform</w:t>
            </w:r>
          </w:p>
        </w:tc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&gt;= 1.6.0 + google provider ~&gt; 5.0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GitOps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ArgoCD</w:t>
            </w:r>
          </w:p>
        </w:tc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v2.9+ with ApplicationSets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Service Mesh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Anthos Service Mesh (Istio)</w:t>
            </w:r>
          </w:p>
        </w:tc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Managed, mTLS enforced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Ingress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GKE Gateway API + Cloud Armor</w:t>
            </w:r>
          </w:p>
        </w:tc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WAF, rate limiting, DDoS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Certs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cert-manager + GCP CAS</w:t>
            </w:r>
          </w:p>
        </w:tc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Automated TLS lifecycle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Secrets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External Secrets Operator</w:t>
            </w:r>
          </w:p>
        </w:tc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Syncs from Secret Manager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Policy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Gatekeeper (OPA)</w:t>
            </w:r>
          </w:p>
        </w:tc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Custom admission policies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Image security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Binary Authorization</w:t>
            </w:r>
          </w:p>
        </w:tc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KMS-backed attestors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Delivery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Argo Rollouts</w:t>
            </w:r>
          </w:p>
        </w:tc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Canary, blue-green, analysis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Metrics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Managed Prometheus + Grafana</w:t>
            </w:r>
          </w:p>
        </w:tc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Zero-ops Prometheus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Logging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Cloud Logging + Fluent Bit</w:t>
            </w:r>
          </w:p>
        </w:tc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Structured JSON logs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Tracing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OpenTelemetry + Cloud Trace</w:t>
            </w:r>
          </w:p>
        </w:tc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W3C Trace Context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CI/CD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Cloud Build + GitHub Actions</w:t>
            </w:r>
          </w:p>
        </w:tc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SLSA level 2 compliance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Registry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Artifact Registry</w:t>
            </w:r>
          </w:p>
        </w:tc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Container + Helm, CMEK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VPA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Vertical Pod Autoscaler</w:t>
            </w:r>
          </w:p>
        </w:tc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Recommendation + auto mode</w:t>
            </w:r>
          </w:p>
        </w:tc>
      </w:tr>
    </w:tbl>
    <w:p>
      <w:pPr>
        <w:pBdr>
          <w:bottom w:val="single" w:color="C5CAE9" w:sz="4" w:space="1"/>
        </w:pBdr>
        <w:spacing w:before="200" w:after="20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368"/>
          <w:sz w:val="18"/>
          <w:szCs w:val="18"/>
        </w:rPr>
        <w:t xml:space="preserve">Document Owner: Platform Engineering Team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368"/>
          <w:sz w:val="18"/>
          <w:szCs w:val="18"/>
        </w:rPr>
        <w:t xml:space="preserve">Review Cycle: Quarterly  |  Next Review: May 2026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368"/>
          <w:sz w:val="18"/>
          <w:szCs w:val="18"/>
        </w:rPr>
        <w:t xml:space="preserve">Classification: CONFIDENTIAL — Internal Use Only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AE9" w:sz="4" w:space="1"/>
      </w:pBdr>
    </w:pPr>
    <w:r>
      <w:rPr>
        <w:rFonts w:ascii="Arial" w:cs="Arial" w:eastAsia="Arial" w:hAnsi="Arial"/>
        <w:color w:val="5F6368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5F6368"/>
        <w:sz w:val="16"/>
        <w:szCs w:val="16"/>
      </w:rPr>
      <w:t xml:space="preserve">    Page </w:t>
    </w:r>
    <w:pgNum/>
    <w:r>
      <w:rPr>
        <w:rFonts w:ascii="Arial" w:cs="Arial" w:eastAsia="Arial" w:hAnsi="Arial"/>
        <w:color w:val="5F6368"/>
        <w:sz w:val="16"/>
        <w:szCs w:val="16"/>
      </w:rPr>
      <w:t xml:space="preserve">  |  © 2026 Your Organization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6" w:space="1"/>
      </w:pBdr>
    </w:pPr>
    <w:r>
      <w:rPr>
        <w:rFonts w:ascii="Arial" w:cs="Arial" w:eastAsia="Arial" w:hAnsi="Arial"/>
        <w:color w:val="5F6368"/>
        <w:sz w:val="18"/>
        <w:szCs w:val="18"/>
      </w:rPr>
      <w:t xml:space="preserve">Enterprise GKE Platform</w:t>
    </w:r>
    <w:r>
      <w:rPr>
        <w:rFonts w:ascii="Arial" w:cs="Arial" w:eastAsia="Arial" w:hAnsi="Arial"/>
        <w:color w:val="1A73E8"/>
        <w:sz w:val="18"/>
        <w:szCs w:val="18"/>
      </w:rPr>
      <w:t xml:space="preserve">  |  Platform Architecture &amp;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1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C2B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73E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3C4A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2026-02-20T22:58:50.502Z</dcterms:created>
  <dcterms:modified xsi:type="dcterms:W3CDTF">2026-02-20T22:58:50.503Z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