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Televisions Page Chart Correction Report</w:t>
      </w:r>
    </w:p>
    <w:p>
      <w:pPr>
        <w:spacing w:after="200"/>
        <w:jc w:val="left"/>
      </w:pPr>
      <w:r>
        <w:rPr>
          <w:rFonts w:ascii="Aptos" w:hAnsi="Aptos"/>
          <w:b/>
          <w:color w:val="173A2F"/>
          <w:sz w:val="20"/>
        </w:rPr>
        <w:t>COS30045 Data Visualisation</w:t>
      </w:r>
      <w:r>
        <w:rPr>
          <w:rFonts w:ascii="Aptos" w:hAnsi="Aptos"/>
          <w:b w:val="0"/>
          <w:color w:val="52645B"/>
          <w:sz w:val="20"/>
        </w:rPr>
        <w:t xml:space="preserve">  |  Lam Khai  |  11 October 2026</w:t>
      </w:r>
    </w:p>
    <w:p>
      <w:pPr>
        <w:spacing w:after="100" w:line="259" w:lineRule="auto"/>
      </w:pPr>
      <w:r>
        <w:rPr>
          <w:rFonts w:ascii="Aptos" w:hAnsi="Aptos"/>
          <w:b w:val="0"/>
          <w:color w:val="000000"/>
          <w:sz w:val="20"/>
        </w:rPr>
        <w:t>This report records the review and correction of the charts on the Televisions page after lecturer feedback. The source calculations were accurate, but several presentation choices could make the charts appear inconsistent. The corrected page now distinguishes record counts from energy measures, shows a complete star-rating scale, labels every bar-chart axis, and preserves the same values across filters and chart types.</w:t>
      </w:r>
    </w:p>
    <w:p>
      <w:pPr>
        <w:pStyle w:val="Heading1"/>
        <w:keepNext/>
      </w:pPr>
      <w:r>
        <w:t>Feedback and conclusion</w:t>
      </w:r>
    </w:p>
    <w:p>
      <w:pPr>
        <w:spacing w:after="100" w:line="259" w:lineRule="auto"/>
      </w:pPr>
      <w:r>
        <w:rPr>
          <w:rFonts w:ascii="Aptos" w:hAnsi="Aptos"/>
          <w:b w:val="0"/>
          <w:color w:val="000000"/>
          <w:sz w:val="20"/>
        </w:rPr>
        <w:t>The lecturer observed that the charts at the top of the page did not appear consistent and might be visualising values incorrectly. The review confirmed that the CSV values and aggregations were correct. The main problem was visual communication: missing rating positions, inconsistent direct labels, different vertical scales, and insufficient explanation of why chart rankings changed when the measure changed.</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Check</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Before review</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After correction</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Result</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Dataset rows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4,724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4,724</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Unchanged</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Technology counts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3,819 / 585 / 320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3,819 / 585 / 320</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Matched CSV</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Star positions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13 observed values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15 half-star positions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6.5 and 7.5 shown as zero</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Technology medians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404 / 277 / 422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404 / 277 / 422</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Matched KNIME summaries</w:t>
            </w:r>
          </w:p>
        </w:tc>
      </w:tr>
    </w:tbl>
    <w:p>
      <w:pPr>
        <w:pStyle w:val="Heading1"/>
        <w:keepNext/>
      </w:pPr>
      <w:r>
        <w:t>Problems identified</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Problem</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Evidence</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Why it mattered</w:t>
            </w:r>
          </w:p>
        </w:tc>
      </w:tr>
      <w:tr>
        <w:trPr>
          <w:cantSplit/>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The top charts could be mistaken for histograms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They count named categories and are therefore bar charts.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Using the wrong chart name makes the data type and purpose unclear.</w:t>
            </w:r>
          </w:p>
        </w:tc>
      </w:tr>
      <w:tr>
        <w:trPr>
          <w:cantSplit/>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The rating scale omitted empty positions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Only 13 observed ratings were drawn. Ratings 6.5 and 7.5 were absent.</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The remaining categories were equally spaced, so a one-star jump looked like a half-star step.</w:t>
            </w:r>
          </w:p>
        </w:tc>
      </w:tr>
      <w:tr>
        <w:trPr>
          <w:cantSplit/>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Exact values were presented inconsistently</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Technology bars had direct labels, while rating bars required hover or an expanded table.</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The two count charts did not offer the same level of visible detail.</w:t>
            </w:r>
          </w:p>
        </w:tc>
      </w:tr>
      <w:tr>
        <w:trPr>
          <w:cantSplit/>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Different scales were easy to compare incorrectly</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Technology counts used 0 to 4,000 and rating counts used 0 to 1,200 without visible axis titles.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Side-by-side bar heights could look comparable even though the scales differed.</w:t>
            </w:r>
          </w:p>
        </w:tc>
      </w:tr>
      <w:tr>
        <w:trPr>
          <w:cantSplit/>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Chart rankings appeared to conflict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LCD LED had the most records, while OLED had the highest median annual energy.</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The charts used different measures, but the page did not explain the distinction strongly enough.</w:t>
            </w:r>
          </w:p>
        </w:tc>
      </w:tr>
      <w:tr>
        <w:trPr>
          <w:cantSplit/>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Technology colours were not consistent everywhere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The box plot used one fill colour for all technology groups.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The visual link between the box plot, bar charts and scatter plot was weaker than necessary.</w:t>
            </w:r>
          </w:p>
        </w:tc>
      </w:tr>
    </w:tbl>
    <w:p>
      <w:pPr>
        <w:pStyle w:val="Heading1"/>
        <w:keepNext/>
      </w:pPr>
      <w:r>
        <w:t>How the issue was identified</w:t>
      </w:r>
    </w:p>
    <w:p>
      <w:pPr>
        <w:spacing w:after="100" w:line="259" w:lineRule="auto"/>
      </w:pPr>
      <w:r>
        <w:rPr>
          <w:rFonts w:ascii="Aptos" w:hAnsi="Aptos"/>
          <w:b w:val="0"/>
          <w:color w:val="000000"/>
          <w:sz w:val="20"/>
        </w:rPr>
        <w:t>I reviewed the chart code, recalculated each summary from the cleaned CSV, and inspected the rendered SVG elements. The code showed that the rating chart created bars only for values present in the data and hid direct value labels whenever a chart contained more than five bars. The rendered page confirmed the missing 6.5 and 7.5 positions and the absence of visible axis titles.</w:t>
      </w:r>
    </w:p>
    <w:p>
      <w:pPr>
        <w:pStyle w:val="ListBullet"/>
        <w:spacing w:after="80"/>
        <w:ind w:left="360" w:hanging="202"/>
      </w:pPr>
      <w:r>
        <w:rPr>
          <w:rFonts w:ascii="Aptos" w:hAnsi="Aptos"/>
          <w:b w:val="0"/>
          <w:color w:val="000000"/>
          <w:sz w:val="20"/>
        </w:rPr>
        <w:t>The technology counts were checked against all 4,724 records: LCD LED 3,819, LCD 585, and OLED 320.</w:t>
      </w:r>
    </w:p>
    <w:p>
      <w:pPr>
        <w:pStyle w:val="ListBullet"/>
        <w:spacing w:after="80"/>
        <w:ind w:left="360" w:hanging="202"/>
      </w:pPr>
      <w:r>
        <w:rPr>
          <w:rFonts w:ascii="Aptos" w:hAnsi="Aptos"/>
          <w:b w:val="0"/>
          <w:color w:val="000000"/>
          <w:sz w:val="20"/>
        </w:rPr>
        <w:t>The star-rating counts summed to 4,724 records. The dataset contained no 6.5-star or 7.5-star records.</w:t>
      </w:r>
    </w:p>
    <w:p>
      <w:pPr>
        <w:pStyle w:val="ListBullet"/>
        <w:spacing w:after="80"/>
        <w:ind w:left="360" w:hanging="202"/>
      </w:pPr>
      <w:r>
        <w:rPr>
          <w:rFonts w:ascii="Aptos" w:hAnsi="Aptos"/>
          <w:b w:val="0"/>
          <w:color w:val="000000"/>
          <w:sz w:val="20"/>
        </w:rPr>
        <w:t>The median bar chart and box plot both returned 404, 277, and 422 kWh/year for LCD LED, LCD, and OLED.</w:t>
      </w:r>
    </w:p>
    <w:p>
      <w:pPr>
        <w:pStyle w:val="ListBullet"/>
        <w:spacing w:after="80"/>
        <w:ind w:left="360" w:hanging="202"/>
      </w:pPr>
      <w:r>
        <w:rPr>
          <w:rFonts w:ascii="Aptos" w:hAnsi="Aptos"/>
          <w:b w:val="0"/>
          <w:color w:val="000000"/>
          <w:sz w:val="20"/>
        </w:rPr>
        <w:t>The filter logic was checked with OLED selected. Every chart used the same 320 matching records.</w:t>
      </w:r>
    </w:p>
    <w:p>
      <w:pPr>
        <w:pStyle w:val="Heading1"/>
        <w:keepNext/>
      </w:pPr>
      <w:r>
        <w:t>Corrections implemented</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File</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Correction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173A2F"/>
          </w:tcPr>
          <w:p>
            <w:pPr>
              <w:spacing w:after="0" w:line="259" w:lineRule="auto"/>
            </w:pPr>
            <w:r>
              <w:rPr>
                <w:rFonts w:ascii="Aptos" w:hAnsi="Aptos"/>
                <w:b/>
                <w:color w:val="FFFFFF"/>
                <w:sz w:val="18"/>
              </w:rPr>
              <w:t>Purpose</w:t>
            </w:r>
          </w:p>
        </w:tc>
      </w:tr>
      <w:tr>
        <w:trPr>
          <w:cantSplit/>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televisions.html</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Used explicit chart-type headings, clearer descriptions, exact-value labels, and a short guide separating record counts from annual-energy measures.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Makes each chart's question and unit clear before the reader interprets the bars.</w:t>
            </w:r>
          </w:p>
        </w:tc>
      </w:tr>
      <w:tr>
        <w:trPr>
          <w:cantSplit/>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charts.js</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Created a fixed 1 to 8 star scale in 0.5 steps, inserted zero counts, added axis labels and direct values, retained zero-count technologies after filtering, and colour-coded box plots.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Corrects spacing and keeps the visual rules consistent across charts and filters.</w:t>
            </w:r>
          </w:p>
        </w:tc>
      </w:tr>
      <w:tr>
        <w:trPr>
          <w:cantSplit/>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styles.css</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Styled compact rating labels, the chart-reading explanation, and technology-specific box colours.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tcPr>
          <w:p>
            <w:pPr>
              <w:spacing w:after="0" w:line="259" w:lineRule="auto"/>
            </w:pPr>
            <w:r>
              <w:rPr>
                <w:rFonts w:ascii="Aptos" w:hAnsi="Aptos"/>
                <w:b w:val="0"/>
                <w:color w:val="000000"/>
                <w:sz w:val="18"/>
              </w:rPr>
              <w:t>Keeps all values readable on desktop and mobile without changing the dataset.</w:t>
            </w:r>
          </w:p>
        </w:tc>
      </w:tr>
      <w:tr>
        <w:trPr>
          <w:cantSplit/>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README.md</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Added a chart correction change log.</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75" w:type="dxa"/>
              <w:start w:w="105" w:type="dxa"/>
              <w:bottom w:w="75" w:type="dxa"/>
              <w:end w:w="105" w:type="dxa"/>
            </w:tcMar>
            <w:shd w:fill="F7FAF8"/>
          </w:tcPr>
          <w:p>
            <w:pPr>
              <w:spacing w:after="0" w:line="259" w:lineRule="auto"/>
            </w:pPr>
            <w:r>
              <w:rPr>
                <w:rFonts w:ascii="Aptos" w:hAnsi="Aptos"/>
                <w:b w:val="0"/>
                <w:color w:val="000000"/>
                <w:sz w:val="18"/>
              </w:rPr>
              <w:t>Records the feedback, changes and verification for submission.</w:t>
            </w:r>
          </w:p>
        </w:tc>
      </w:tr>
    </w:tbl>
    <w:p>
      <w:pPr>
        <w:pStyle w:val="Heading1"/>
        <w:keepNext/>
      </w:pPr>
      <w:r>
        <w:t>Validation results</w:t>
      </w:r>
    </w:p>
    <w:p>
      <w:pPr>
        <w:pStyle w:val="ListBullet"/>
        <w:spacing w:after="80"/>
        <w:ind w:left="360" w:hanging="202"/>
      </w:pPr>
      <w:r>
        <w:rPr>
          <w:rFonts w:ascii="Aptos" w:hAnsi="Aptos"/>
          <w:b w:val="0"/>
          <w:color w:val="000000"/>
          <w:sz w:val="20"/>
        </w:rPr>
        <w:t>JavaScript syntax validation completed without errors.</w:t>
      </w:r>
    </w:p>
    <w:p>
      <w:pPr>
        <w:pStyle w:val="ListBullet"/>
        <w:spacing w:after="80"/>
        <w:ind w:left="360" w:hanging="202"/>
      </w:pPr>
      <w:r>
        <w:rPr>
          <w:rFonts w:ascii="Aptos" w:hAnsi="Aptos"/>
          <w:b w:val="0"/>
          <w:color w:val="000000"/>
          <w:sz w:val="20"/>
        </w:rPr>
        <w:t>The full page loaded 4,724 records and produced 15 star-rating bars with visible values and complete half-star spacing.</w:t>
      </w:r>
    </w:p>
    <w:p>
      <w:pPr>
        <w:pStyle w:val="ListBullet"/>
        <w:spacing w:after="80"/>
        <w:ind w:left="360" w:hanging="202"/>
      </w:pPr>
      <w:r>
        <w:rPr>
          <w:rFonts w:ascii="Aptos" w:hAnsi="Aptos"/>
          <w:b w:val="0"/>
          <w:color w:val="000000"/>
          <w:sz w:val="20"/>
        </w:rPr>
        <w:t>The technology chart showed 3,819, 585 and 320 records. The three technology medians remained 404, 277 and 422 kWh/year.</w:t>
      </w:r>
    </w:p>
    <w:p>
      <w:pPr>
        <w:pStyle w:val="ListBullet"/>
        <w:spacing w:after="80"/>
        <w:ind w:left="360" w:hanging="202"/>
      </w:pPr>
      <w:r>
        <w:rPr>
          <w:rFonts w:ascii="Aptos" w:hAnsi="Aptos"/>
          <w:b w:val="0"/>
          <w:color w:val="000000"/>
          <w:sz w:val="20"/>
        </w:rPr>
        <w:t>With the OLED filter selected, the page showed 320 records, 320 scatter points, one OLED box, one OLED median bar, and rating counts totalling 320.</w:t>
      </w:r>
    </w:p>
    <w:p>
      <w:pPr>
        <w:pStyle w:val="ListBullet"/>
        <w:spacing w:after="80"/>
        <w:ind w:left="360" w:hanging="202"/>
      </w:pPr>
      <w:r>
        <w:rPr>
          <w:rFonts w:ascii="Aptos" w:hAnsi="Aptos"/>
          <w:b w:val="0"/>
          <w:color w:val="000000"/>
          <w:sz w:val="20"/>
        </w:rPr>
        <w:t>Desktop and 390-pixel mobile layouts were inspected. The mobile page had no horizontal overflow, and the chart labels remained readable.</w:t>
      </w:r>
    </w:p>
    <w:p>
      <w:pPr>
        <w:pStyle w:val="ListBullet"/>
        <w:spacing w:after="80"/>
        <w:ind w:left="360" w:hanging="202"/>
      </w:pPr>
      <w:r>
        <w:rPr>
          <w:rFonts w:ascii="Aptos" w:hAnsi="Aptos"/>
          <w:b w:val="0"/>
          <w:color w:val="000000"/>
          <w:sz w:val="20"/>
        </w:rPr>
        <w:t>The browser console reported no warnings or errors during the final review.</w:t>
      </w:r>
    </w:p>
    <w:p>
      <w:pPr>
        <w:pStyle w:val="Heading1"/>
        <w:keepNext/>
      </w:pPr>
      <w:r>
        <w:t>Interpretation after correction</w:t>
      </w:r>
    </w:p>
    <w:p>
      <w:pPr>
        <w:spacing w:after="100" w:line="259" w:lineRule="auto"/>
      </w:pPr>
      <w:r>
        <w:rPr>
          <w:rFonts w:ascii="Aptos" w:hAnsi="Aptos"/>
          <w:b w:val="0"/>
          <w:color w:val="000000"/>
          <w:sz w:val="20"/>
        </w:rPr>
        <w:t>The corrected charts distinguish category frequency from energy consumption. LCD LED is the most frequent technology, while OLED has the highest median labelled annual energy. These findings answer different questions and do not conflict. Technology comparisons remain descriptive because screen sizes differ across the groups; the page does not claim that screen technology alone changes energy consumption.</w:t>
      </w:r>
    </w:p>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Televisions Page Chart Correction Report</dc:title>
  <dc:subject>COS30045 website chart review and correction</dc:subject>
  <dc:creator>Lam Khai</dc:creator>
  <cp:keywords>COS30045, data visualisation, charts, validation, change log</cp:keywords>
  <dc:description/>
  <cp:lastModifiedBy/>
  <cp:revision>1</cp:revision>
  <dcterms:created xsi:type="dcterms:W3CDTF">2013-12-23T23:15:00Z</dcterms:created>
  <dcterms:modified xsi:type="dcterms:W3CDTF">2013-12-23T23:15:00Z</dcterms:modified>
  <cp:category/>
</cp:coreProperties>
</file>