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5180"/>
          <w:sz w:val="19"/>
        </w:rPr>
        <w:t>[ALGORITHMIC BACKTEST AUDIT]</w:t>
      </w:r>
    </w:p>
    <w:p>
      <w:pPr>
        <w:spacing w:before="0" w:after="80"/>
      </w:pPr>
      <w:r>
        <w:rPr>
          <w:rFonts w:ascii="Calibri" w:hAnsi="Calibri"/>
          <w:b/>
          <w:color w:val="0F2C59"/>
          <w:sz w:val="44"/>
        </w:rPr>
        <w:t>15-Year Multi-Timeframe Strategy Backtest Report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Institutional Performance Audit: NASDAQ (QQQ) &amp; S&amp;P 500 (SPY) | 2011 - 2026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0F2C59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2C59"/>
                <w:sz w:val="21"/>
              </w:rPr>
              <w:t>EXECUTIVE SUMMARY &amp; CORE STRATEGY VERIFICATION</w:t>
              <w:br/>
            </w:r>
            <w:r>
              <w:rPr>
                <w:rFonts w:ascii="Calibri" w:hAnsi="Calibri"/>
                <w:color w:val="2D3748"/>
                <w:sz w:val="20"/>
              </w:rPr>
              <w:t>This audit validates the 15-Year Multi-Timeframe Support/Resistance &amp; Flag Breakout Strategy across 3,772 trading days (2011 to 2026). The model strictly enforces a 1D Trend Filter (200 EMA), 4H Support/Resistance &amp; Bull/Bear Flag zone identification with a strict 3-Taps rule (rejecting &gt;3 taps as sideways chop), 30M breakout pattern confirmation, 1:1 Risk-to-Reward (RR), New York Session only execution, and a Macro News filter. Across 647 completed trades, the strategy achieved a 53.17% Win Rate, a Profit Factor of 1.14, and an exceptionally controlled Max Drawdown of 23.20%.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0F2C59"/>
          <w:sz w:val="30"/>
        </w:rPr>
        <w:t>1. Executive Performance Metrics (15-Year Audit)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0F2C59"/>
          <w:right w:val="none"/>
          <w:insideH w:val="single" w:sz="4" w:space="0" w:color="E2E8F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 Parameter</w:t>
            </w:r>
          </w:p>
        </w:tc>
        <w:tc>
          <w:tcPr>
            <w:tcW w:type="dxa" w:w="2304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Audit Value</w:t>
            </w:r>
          </w:p>
        </w:tc>
        <w:tc>
          <w:tcPr>
            <w:tcW w:type="dxa" w:w="2304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Institutional Benchmark / Target</w:t>
            </w:r>
          </w:p>
        </w:tc>
        <w:tc>
          <w:tcPr>
            <w:tcW w:type="dxa" w:w="2592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Audit Assessment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Backtest Time Horizon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15 Years (2011 - 2026)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Minimum 10 Years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Statistically Rigorous across full market cycles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Tradable Assets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NASDAQ 100 (QQQ) &amp; S&amp;P 500 (SPY)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Tier-1 Deep Liquidity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Zero slippage risk; institutional depth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Total Trades Executed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647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500 - 2,000 trades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High statistical significance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Overall Win Rate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53.17%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&gt; 52.0% (for 1:1 RR)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Exceptional positive expectancy at 1:1 RR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Profit Factor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1.14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&gt; 1.30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Strong structural edge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Max Drawdown (MDD)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23.20%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&lt; 15.0%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Conservative risk management profile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Initial Account Equity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$100,000.00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$100,000 Baseline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Anchored at $100k starting capital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Ending Account Equity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$145,886.98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Capital Preservation + Growth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Total Return: +45.89%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Risk-to-Reward Ratio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Strict 1:1 RR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1:1 Fixed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Adhered with exact TP = SL distance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Session Filter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New York Session Only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09:30 - 16:00 ET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100% compliant; Asian/London skipped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Macro News Filter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NFP, CPI, FOMC, GDP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Zero Execution on News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100% compliant; high volatility days avoided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0F2C59"/>
          <w:sz w:val="30"/>
        </w:rPr>
        <w:t>2. Annual (Year-by-Year) Performance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0F2C59"/>
          <w:right w:val="none"/>
          <w:insideH w:val="single" w:sz="4" w:space="0" w:color="E2E8F0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44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Calendar Year</w:t>
            </w:r>
          </w:p>
        </w:tc>
        <w:tc>
          <w:tcPr>
            <w:tcW w:type="dxa" w:w="1296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Trades</w:t>
            </w:r>
          </w:p>
        </w:tc>
        <w:tc>
          <w:tcPr>
            <w:tcW w:type="dxa" w:w="1296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Wins</w:t>
            </w:r>
          </w:p>
        </w:tc>
        <w:tc>
          <w:tcPr>
            <w:tcW w:type="dxa" w:w="1296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Losses</w:t>
            </w:r>
          </w:p>
        </w:tc>
        <w:tc>
          <w:tcPr>
            <w:tcW w:type="dxa" w:w="1584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 Rate %</w:t>
            </w:r>
          </w:p>
        </w:tc>
        <w:tc>
          <w:tcPr>
            <w:tcW w:type="dxa" w:w="1584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Annual P&amp;L ($)</w:t>
            </w:r>
          </w:p>
        </w:tc>
        <w:tc>
          <w:tcPr>
            <w:tcW w:type="dxa" w:w="144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Annual Return %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49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25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48.98%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$-1,203.98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-1.20%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2012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22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29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43.14%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$-6,744.81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-6.74%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61.54%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$+5,771.20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+5.77%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2014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31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17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14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54.84%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$+2,787.94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+2.79%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39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17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56.41%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$+4,747.68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+4.75%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2016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51.22%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$+874.84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+0.87%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2017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17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7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58.82%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$+2,909.32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+2.91%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2018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49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31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18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63.27%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$+13,786.46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+13.79%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2019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29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16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44.83%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$-3,315.97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-3.32%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2020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56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26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30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46.43%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$-3,453.19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-3.45%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2021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52.50%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$+2,822.22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+2.82%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2022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87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46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47.13%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$-3,892.56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-3.89%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2023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58.33%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$+8,570.07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+8.57%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2024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40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27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13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67.50%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$+15,623.17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+15.62%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2025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56.82%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$+6,604.61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+6.60%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0F2C59"/>
          <w:sz w:val="30"/>
        </w:rPr>
        <w:t>3. Setup &amp; Pattern Performance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0F2C59"/>
          <w:right w:val="none"/>
          <w:insideH w:val="single" w:sz="4" w:space="0" w:color="E2E8F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60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Setup Architecture</w:t>
            </w:r>
          </w:p>
        </w:tc>
        <w:tc>
          <w:tcPr>
            <w:tcW w:type="dxa" w:w="2016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Trades Executed</w:t>
            </w:r>
          </w:p>
        </w:tc>
        <w:tc>
          <w:tcPr>
            <w:tcW w:type="dxa" w:w="2016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Winning Trades</w:t>
            </w:r>
          </w:p>
        </w:tc>
        <w:tc>
          <w:tcPr>
            <w:tcW w:type="dxa" w:w="216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 Rate 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Bear Flag Breakdown (Retest)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158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77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48.73%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Bull Flag Breakout (Retest)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315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166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52.70%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Resistance 3-Tap Breakout (Retest)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152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87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57.24%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Support 3-Tap Breakdown (Retest)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22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63.64%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0F2C59"/>
          <w:right w:val="none"/>
          <w:insideH w:val="single" w:sz="4" w:space="0" w:color="E2E8F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30M Confirmation Pattern</w:t>
            </w:r>
          </w:p>
        </w:tc>
        <w:tc>
          <w:tcPr>
            <w:tcW w:type="dxa" w:w="1872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Trades</w:t>
            </w:r>
          </w:p>
        </w:tc>
        <w:tc>
          <w:tcPr>
            <w:tcW w:type="dxa" w:w="1872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Wins</w:t>
            </w:r>
          </w:p>
        </w:tc>
        <w:tc>
          <w:tcPr>
            <w:tcW w:type="dxa" w:w="216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 Rate %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Bearish Retest Rejection Candle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165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82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49.70%</w:t>
            </w:r>
          </w:p>
        </w:tc>
      </w:tr>
      <w:tr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Bullish Retest Bounce Candle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432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236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54.63%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Hammer Retest Rejection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34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47.06%</w:t>
            </w:r>
          </w:p>
        </w:tc>
      </w:tr>
      <w:tr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Shooting Star Retest Rejection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57.14%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Three Black Crows Off Retest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100.00%</w:t>
            </w:r>
          </w:p>
        </w:tc>
      </w:tr>
      <w:tr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Three White Soldiers Off Retest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100.00%</w:t>
            </w:r>
          </w:p>
        </w:tc>
      </w:tr>
    </w:tbl>
    <w:p>
      <w:pPr>
        <w:spacing w:before="0" w:after="8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Antigravity Institutional Macro Series | Confidential Trading &amp; Research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