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rPr>
          <w:b/>
          <w:sz w:val="36"/>
        </w:rPr>
        <w:t xml:space="preserve">JDA 1 — Master File (TEST DATA)</w:t>
      </w:r>
    </w:p>
    <w:p>
      <w:r>
        <w:rPr>
          <w:sz w:val="22"/>
        </w:rPr>
        <w:t xml:space="preserve">This is sample content for testing the portal. None of it is real.</w:t>
      </w:r>
    </w:p>
    <w:p>
      <w:pPr>
        <w:spacing w:before="240" w:after="120"/>
      </w:pPr>
      <w:r>
        <w:rPr>
          <w:b/>
          <w:sz w:val="28"/>
        </w:rPr>
        <w:t xml:space="preserve">Header</w:t>
      </w:r>
    </w:p>
    <w:p>
      <w:r>
        <w:rPr>
          <w:sz w:val="22"/>
        </w:rPr>
        <w:t xml:space="preserve">Programme line: TriCipta AI · First Joint Development Agreement</w:t>
      </w:r>
    </w:p>
    <w:p>
      <w:r>
        <w:rPr>
          <w:sz w:val="22"/>
        </w:rPr>
        <w:t xml:space="preserve">Tagline: Subsurface Data Foundation with AI</w:t>
      </w:r>
    </w:p>
    <w:p>
      <w:r>
        <w:rPr>
          <w:sz w:val="22"/>
        </w:rPr>
        <w:t xml:space="preserve">Summary: JDA 1 is the Foundation Phase of TriCipta AI. It brings Petronas Carigali subsurface data into one governed platform so that studies start from trusted data instead of manual collection.</w:t>
      </w:r>
    </w:p>
    <w:p>
      <w:r>
        <w:rPr>
          <w:sz w:val="22"/>
        </w:rPr>
        <w:t xml:space="preserve">More detail: The programme covers seismic, well log and production history data across 12 fields over 18 months. It is delivered jointly by Petronas Carigali, IBM Malaysia and Tridiagonal.ai.</w:t>
      </w:r>
    </w:p>
    <w:p>
      <w:pPr>
        <w:spacing w:before="240" w:after="120"/>
      </w:pPr>
      <w:r>
        <w:rPr>
          <w:b/>
          <w:sz w:val="28"/>
        </w:rPr>
        <w:t xml:space="preserve">Winning aspiration</w:t>
      </w:r>
    </w:p>
    <w:p>
      <w:pPr>
        <w:ind w:left="360"/>
      </w:pPr>
      <w:r>
        <w:rPr>
          <w:sz w:val="22"/>
        </w:rPr>
        <w:t xml:space="preserve">• 40% faster study turnaround — time from request to first interpretation</w:t>
      </w:r>
    </w:p>
    <w:p>
      <w:pPr>
        <w:ind w:left="360"/>
      </w:pPr>
      <w:r>
        <w:rPr>
          <w:sz w:val="22"/>
        </w:rPr>
        <w:t xml:space="preserve">• 95% data completeness — wells with a full, quality-checked log suite</w:t>
      </w:r>
    </w:p>
    <w:p>
      <w:pPr>
        <w:ind w:left="360"/>
      </w:pPr>
      <w:r>
        <w:rPr>
          <w:sz w:val="22"/>
        </w:rPr>
        <w:t xml:space="preserve">• 12 fields onboarded — coverage by end of programme</w:t>
      </w:r>
    </w:p>
    <w:p>
      <w:pPr>
        <w:ind w:left="360"/>
      </w:pPr>
      <w:r>
        <w:rPr>
          <w:sz w:val="22"/>
        </w:rPr>
        <w:t xml:space="preserve">• RM 60 million value — programme-wide ambition (this is the headline figure)</w:t>
      </w:r>
    </w:p>
    <w:p>
      <w:pPr>
        <w:spacing w:before="240" w:after="120"/>
      </w:pPr>
      <w:r>
        <w:rPr>
          <w:b/>
          <w:sz w:val="28"/>
        </w:rPr>
        <w:t xml:space="preserve">Solutions</w:t>
      </w:r>
    </w:p>
    <w:p>
      <w:r>
        <w:rPr>
          <w:sz w:val="22"/>
        </w:rPr>
        <w:t xml:space="preserve">Group: Tier 1 · Foundation solutions</w:t>
      </w:r>
    </w:p>
    <w:p>
      <w:r>
        <w:rPr>
          <w:sz w:val="22"/>
        </w:rPr>
        <w:t xml:space="preserve">Solution: Seismic Data Lake (Tier 1)</w:t>
      </w:r>
    </w:p>
    <w:p>
      <w:r>
        <w:rPr>
          <w:sz w:val="22"/>
        </w:rPr>
        <w:t xml:space="preserve">Tags: Data Foundation; IBM Malaysia</w:t>
      </w:r>
    </w:p>
    <w:p>
      <w:r>
        <w:rPr>
          <w:sz w:val="22"/>
        </w:rPr>
        <w:t xml:space="preserve">Vision: One searchable home for every seismic survey, with consistent naming and quality flags.</w:t>
      </w:r>
    </w:p>
    <w:p>
      <w:r>
        <w:rPr>
          <w:sz w:val="22"/>
        </w:rPr>
        <w:t xml:space="preserve">Scope:</w:t>
      </w:r>
    </w:p>
    <w:p>
      <w:pPr>
        <w:ind w:left="360"/>
      </w:pPr>
      <w:r>
        <w:rPr>
          <w:sz w:val="22"/>
        </w:rPr>
        <w:t xml:space="preserve">• Ingest legacy SEG-Y surveys from 12 fields</w:t>
      </w:r>
    </w:p>
    <w:p>
      <w:pPr>
        <w:ind w:left="360"/>
      </w:pPr>
      <w:r>
        <w:rPr>
          <w:sz w:val="22"/>
        </w:rPr>
        <w:t xml:space="preserve">• Automated quality checks and metadata tagging</w:t>
      </w:r>
    </w:p>
    <w:p>
      <w:pPr>
        <w:ind w:left="360"/>
      </w:pPr>
      <w:r>
        <w:rPr>
          <w:sz w:val="22"/>
        </w:rPr>
        <w:t xml:space="preserve">• Search by field, vintage and survey type</w:t>
      </w:r>
    </w:p>
    <w:p>
      <w:r>
        <w:rPr>
          <w:sz w:val="22"/>
        </w:rPr>
        <w:t xml:space="preserve">Targets: 100% of surveys catalogued; search results in under 5 seconds</w:t>
      </w:r>
    </w:p>
    <w:p>
      <w:r>
        <w:rPr>
          <w:sz w:val="22"/>
        </w:rPr>
        <w:t xml:space="preserve">Led by: IBM Malaysia</w:t>
      </w:r>
    </w:p>
    <w:p>
      <w:r>
        <w:rPr>
          <w:sz w:val="22"/>
        </w:rPr>
        <w:t xml:space="preserve">Solution: Well Log Quality Assistant (Tier 1)</w:t>
      </w:r>
    </w:p>
    <w:p>
      <w:r>
        <w:rPr>
          <w:sz w:val="22"/>
        </w:rPr>
        <w:t xml:space="preserve">Tags: Data Quality; Tridiagonal.ai</w:t>
      </w:r>
    </w:p>
    <w:p>
      <w:r>
        <w:rPr>
          <w:sz w:val="22"/>
        </w:rPr>
        <w:t xml:space="preserve">Vision: Flag missing, mislabelled or out-of-range log curves before they reach an interpreter.</w:t>
      </w:r>
    </w:p>
    <w:p>
      <w:r>
        <w:rPr>
          <w:sz w:val="22"/>
        </w:rPr>
        <w:t xml:space="preserve">Scope:</w:t>
      </w:r>
    </w:p>
    <w:p>
      <w:pPr>
        <w:ind w:left="360"/>
      </w:pPr>
      <w:r>
        <w:rPr>
          <w:sz w:val="22"/>
        </w:rPr>
        <w:t xml:space="preserve">• Curve completeness checks for every well</w:t>
      </w:r>
    </w:p>
    <w:p>
      <w:pPr>
        <w:ind w:left="360"/>
      </w:pPr>
      <w:r>
        <w:rPr>
          <w:sz w:val="22"/>
        </w:rPr>
        <w:t xml:space="preserve">• Automatic unit and mnemonic correction</w:t>
      </w:r>
    </w:p>
    <w:p>
      <w:r>
        <w:rPr>
          <w:sz w:val="22"/>
        </w:rPr>
        <w:t xml:space="preserve">Targets: 95% data completeness</w:t>
      </w:r>
    </w:p>
    <w:p>
      <w:r>
        <w:rPr>
          <w:sz w:val="22"/>
        </w:rPr>
        <w:t xml:space="preserve">Led by: Tridiagonal.ai</w:t>
      </w:r>
    </w:p>
    <w:p>
      <w:r>
        <w:rPr>
          <w:sz w:val="22"/>
        </w:rPr>
        <w:t xml:space="preserve">Group: Competitive edge solutions</w:t>
      </w:r>
    </w:p>
    <w:p>
      <w:r>
        <w:rPr>
          <w:sz w:val="22"/>
        </w:rPr>
        <w:t xml:space="preserve">Solution: Reservoir Study Copilot (Competitive Edge)</w:t>
      </w:r>
    </w:p>
    <w:p>
      <w:r>
        <w:rPr>
          <w:sz w:val="22"/>
        </w:rPr>
        <w:t xml:space="preserve">Tags: 40% faster studies; Joint delivery</w:t>
      </w:r>
    </w:p>
    <w:p>
      <w:r>
        <w:rPr>
          <w:sz w:val="22"/>
        </w:rPr>
        <w:t xml:space="preserve">Vision: An assistant that assembles the data pack for a reservoir study and drafts the first-pass summary.</w:t>
      </w:r>
    </w:p>
    <w:p>
      <w:r>
        <w:rPr>
          <w:sz w:val="22"/>
        </w:rPr>
        <w:t xml:space="preserve">Scope:</w:t>
      </w:r>
    </w:p>
    <w:p>
      <w:pPr>
        <w:ind w:left="360"/>
      </w:pPr>
      <w:r>
        <w:rPr>
          <w:sz w:val="22"/>
        </w:rPr>
        <w:t xml:space="preserve">• Natural-language search across seismic, logs and reports</w:t>
      </w:r>
    </w:p>
    <w:p>
      <w:pPr>
        <w:ind w:left="360"/>
      </w:pPr>
      <w:r>
        <w:rPr>
          <w:sz w:val="22"/>
        </w:rPr>
        <w:t xml:space="preserve">• Draft study summaries with source references</w:t>
      </w:r>
    </w:p>
    <w:p>
      <w:r>
        <w:rPr>
          <w:sz w:val="22"/>
        </w:rPr>
        <w:t xml:space="preserve">Targets: 40% faster study turnaround; 30% fewer data requests</w:t>
      </w:r>
    </w:p>
    <w:p>
      <w:r>
        <w:rPr>
          <w:sz w:val="22"/>
        </w:rPr>
        <w:t xml:space="preserve">Led by: IBM Malaysia and Tridiagonal.ai</w:t>
      </w:r>
    </w:p>
    <w:p>
      <w:r>
        <w:rPr>
          <w:sz w:val="22"/>
        </w:rPr>
        <w:t xml:space="preserve">Solution: Production History Matching (Competitive Edge)</w:t>
      </w:r>
    </w:p>
    <w:p>
      <w:r>
        <w:rPr>
          <w:sz w:val="22"/>
        </w:rPr>
        <w:t xml:space="preserve">Tags: 20% fewer simulation runs; Tridiagonal.ai</w:t>
      </w:r>
    </w:p>
    <w:p>
      <w:r>
        <w:rPr>
          <w:sz w:val="22"/>
        </w:rPr>
        <w:t xml:space="preserve">Vision: Machine-learning assisted history matching that narrows the range of reservoir models faster.</w:t>
      </w:r>
    </w:p>
    <w:p>
      <w:r>
        <w:rPr>
          <w:sz w:val="22"/>
        </w:rPr>
        <w:t xml:space="preserve">Scope:</w:t>
      </w:r>
    </w:p>
    <w:p>
      <w:pPr>
        <w:ind w:left="360"/>
      </w:pPr>
      <w:r>
        <w:rPr>
          <w:sz w:val="22"/>
        </w:rPr>
        <w:t xml:space="preserve">• Proxy models for 4 pilot fields</w:t>
      </w:r>
    </w:p>
    <w:p>
      <w:pPr>
        <w:ind w:left="360"/>
      </w:pPr>
      <w:r>
        <w:rPr>
          <w:sz w:val="22"/>
        </w:rPr>
        <w:t xml:space="preserve">• Uncertainty ranking of model parameters</w:t>
      </w:r>
    </w:p>
    <w:p>
      <w:r>
        <w:rPr>
          <w:sz w:val="22"/>
        </w:rPr>
        <w:t xml:space="preserve">Targets: 20% fewer simulation runs</w:t>
      </w:r>
    </w:p>
    <w:p>
      <w:r>
        <w:rPr>
          <w:sz w:val="22"/>
        </w:rPr>
        <w:t xml:space="preserve">Led by: Tridiagonal.ai</w:t>
      </w:r>
    </w:p>
    <w:p>
      <w:pPr>
        <w:spacing w:before="240" w:after="120"/>
      </w:pPr>
      <w:r>
        <w:rPr>
          <w:b/>
          <w:sz w:val="28"/>
        </w:rPr>
        <w:t xml:space="preserve">Collaborators</w:t>
      </w:r>
    </w:p>
    <w:p>
      <w:r>
        <w:rPr>
          <w:sz w:val="22"/>
        </w:rPr>
        <w:t xml:space="preserve">Petronas Carigali — Asset owner and primary beneficiary. Provides subsurface data, domain experts and funding. More: owns all data and the resulting models.</w:t>
      </w:r>
    </w:p>
    <w:p>
      <w:r>
        <w:rPr>
          <w:sz w:val="22"/>
        </w:rPr>
        <w:t xml:space="preserve">IBM Malaysia — Data platform and AI engineering. Builds the data lake, search and copilot. More: brings hybrid cloud architecture and governance tooling.</w:t>
      </w:r>
    </w:p>
    <w:p>
      <w:r>
        <w:rPr>
          <w:sz w:val="22"/>
        </w:rPr>
        <w:t xml:space="preserve">Tridiagonal.ai — Subsurface domain engineering. Provides log quality rules and history-matching methods. More: validates every model against engineering practice.</w:t>
      </w:r>
    </w:p>
    <w:p>
      <w:pPr>
        <w:spacing w:before="240" w:after="120"/>
      </w:pPr>
      <w:r>
        <w:rPr>
          <w:b/>
          <w:sz w:val="28"/>
        </w:rPr>
        <w:t xml:space="preserve">Press release</w:t>
      </w:r>
    </w:p>
    <w:p>
      <w:r>
        <w:rPr>
          <w:sz w:val="22"/>
        </w:rPr>
        <w:t xml:space="preserve">On 15 January 2025, Petronas Carigali signed the first Joint Development Agreement with IBM Malaysia and Tridiagonal.ai, launching TriCipta AI with a subsurface data foundation.</w:t>
      </w:r>
    </w:p>
    <w:p>
      <w:r>
        <w:rPr>
          <w:sz w:val="22"/>
        </w:rPr>
        <w:t xml:space="preserve">More: The agreement runs for 18 months and covers 12 fields.</w:t>
      </w:r>
    </w:p>
    <w:p>
      <w:r>
        <w:rPr>
          <w:sz w:val="22"/>
        </w:rPr>
        <w:t xml:space="preserve">Link: https://www.example.com/jda1-press-release (Read the full release)</w:t>
      </w:r>
    </w:p>
  </w:body>
</w:document>
</file>