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1736a38b252c4463816fa391395cabf3c4e28dd"/>
    <w:p>
      <w:pPr>
        <w:pStyle w:val="Heading1"/>
      </w:pPr>
      <w:r>
        <w:t xml:space="preserve">InterNexus: A Strategic National Research Collaboration HQ</w:t>
      </w:r>
    </w:p>
    <w:bookmarkStart w:id="25" w:name="slide-1-introduction-overview"/>
    <w:p>
      <w:pPr>
        <w:pStyle w:val="Heading2"/>
      </w:pPr>
      <w:r>
        <w:t xml:space="preserve">Slide 1: Introduction &amp; Overview</w:t>
      </w:r>
    </w:p>
    <w:p>
      <w:pPr>
        <w:pStyle w:val="Compact"/>
        <w:numPr>
          <w:ilvl w:val="0"/>
          <w:numId w:val="1001"/>
        </w:numPr>
      </w:pPr>
      <w:r>
        <w:rPr>
          <w:b/>
          <w:bCs/>
        </w:rPr>
        <w:t xml:space="preserve">InterNexus:</w:t>
      </w:r>
      <w:r>
        <w:t xml:space="preserve"> </w:t>
      </w:r>
      <w:r>
        <w:t xml:space="preserve">a proposed national-scale “collaboratory” connecting universities, research institutes, industry and government to tackle complex challenges together</w:t>
      </w:r>
      <w:hyperlink r:id="rId21">
        <w:r>
          <w:rPr>
            <w:rStyle w:val="Hyperlink"/>
          </w:rPr>
          <w:t xml:space="preserve">[1]</w:t>
        </w:r>
      </w:hyperlink>
      <w:r>
        <w:t xml:space="preserve">.</w:t>
      </w:r>
    </w:p>
    <w:p>
      <w:pPr>
        <w:pStyle w:val="Compact"/>
        <w:numPr>
          <w:ilvl w:val="0"/>
          <w:numId w:val="1001"/>
        </w:numPr>
      </w:pPr>
      <w:r>
        <w:rPr>
          <w:b/>
          <w:bCs/>
        </w:rPr>
        <w:t xml:space="preserve">Open Innovation Hub:</w:t>
      </w:r>
      <w:r>
        <w:t xml:space="preserve"> </w:t>
      </w:r>
      <w:r>
        <w:t xml:space="preserve">functions as a unified interdisciplinary HQ, fostering cross-sector collaboration beyond standard tech themes (fully aligned with the hackathon’s Open Innovation track)</w:t>
      </w:r>
      <w:hyperlink r:id="rId22">
        <w:r>
          <w:rPr>
            <w:rStyle w:val="Hyperlink"/>
          </w:rPr>
          <w:t xml:space="preserve">[2]</w:t>
        </w:r>
      </w:hyperlink>
      <w:hyperlink r:id="rId23">
        <w:r>
          <w:rPr>
            <w:rStyle w:val="Hyperlink"/>
          </w:rPr>
          <w:t xml:space="preserve">[3]</w:t>
        </w:r>
      </w:hyperlink>
      <w:r>
        <w:t xml:space="preserve">.</w:t>
      </w:r>
    </w:p>
    <w:p>
      <w:pPr>
        <w:pStyle w:val="Compact"/>
        <w:numPr>
          <w:ilvl w:val="0"/>
          <w:numId w:val="1001"/>
        </w:numPr>
      </w:pPr>
      <w:r>
        <w:rPr>
          <w:b/>
          <w:bCs/>
        </w:rPr>
        <w:t xml:space="preserve">Leveraging Singapore’s R&amp;D Strength:</w:t>
      </w:r>
      <w:r>
        <w:t xml:space="preserve"> </w:t>
      </w:r>
      <w:r>
        <w:t xml:space="preserve">built on the nation’s sustained R&amp;D investment and diverse ecosystem; past experience shows long-term funding drives new knowledge and economic growth</w:t>
      </w:r>
      <w:hyperlink r:id="rId21">
        <w:r>
          <w:rPr>
            <w:rStyle w:val="Hyperlink"/>
          </w:rPr>
          <w:t xml:space="preserve">[1]</w:t>
        </w:r>
      </w:hyperlink>
      <w:hyperlink r:id="rId24">
        <w:r>
          <w:rPr>
            <w:rStyle w:val="Hyperlink"/>
          </w:rPr>
          <w:t xml:space="preserve">[4]</w:t>
        </w:r>
      </w:hyperlink>
      <w:r>
        <w:t xml:space="preserve">.</w:t>
      </w:r>
    </w:p>
    <w:p>
      <w:pPr>
        <w:pStyle w:val="FirstParagraph"/>
      </w:pPr>
      <w:r>
        <w:rPr>
          <w:i/>
          <w:iCs/>
        </w:rPr>
        <w:t xml:space="preserve">Presentation notes:</w:t>
      </w:r>
      <w:r>
        <w:t xml:space="preserve"> </w:t>
      </w:r>
      <w:r>
        <w:t xml:space="preserve">Greet the audience and set the stage. Emphasize that InterNexus is a bold, nationwide initiative (in the spirit of Singapore’s policy) unifying talent and resources. Highlight that this idea falls outside conventional categories (thus fitting the Open Innovation track</w:t>
      </w:r>
      <w:hyperlink r:id="rId22">
        <w:r>
          <w:rPr>
            <w:rStyle w:val="Hyperlink"/>
          </w:rPr>
          <w:t xml:space="preserve">[2]</w:t>
        </w:r>
      </w:hyperlink>
      <w:r>
        <w:t xml:space="preserve">), and is inspired by successful models like the CREATE research campus</w:t>
      </w:r>
      <w:hyperlink r:id="rId23">
        <w:r>
          <w:rPr>
            <w:rStyle w:val="Hyperlink"/>
          </w:rPr>
          <w:t xml:space="preserve">[3]</w:t>
        </w:r>
      </w:hyperlink>
      <w:r>
        <w:t xml:space="preserve">. Frame InterNexus as serving national interests through innovation.</w:t>
      </w:r>
    </w:p>
    <w:bookmarkEnd w:id="25"/>
    <w:bookmarkStart w:id="27" w:name="Xf0d5896c7a218112114f43614dfc08ea99a3027"/>
    <w:p>
      <w:pPr>
        <w:pStyle w:val="Heading2"/>
      </w:pPr>
      <w:r>
        <w:t xml:space="preserve">Slide 2: Vision &amp; Concept (Innovation Emphasis)</w:t>
      </w:r>
    </w:p>
    <w:p>
      <w:pPr>
        <w:pStyle w:val="Compact"/>
        <w:numPr>
          <w:ilvl w:val="0"/>
          <w:numId w:val="1002"/>
        </w:numPr>
      </w:pPr>
      <w:r>
        <w:rPr>
          <w:b/>
          <w:bCs/>
        </w:rPr>
        <w:t xml:space="preserve">Unique Concept:</w:t>
      </w:r>
      <w:r>
        <w:t xml:space="preserve"> </w:t>
      </w:r>
      <w:r>
        <w:t xml:space="preserve">InterNexus is a first-of-its-kind national research hub, transcending disciplinary silos to address complex problems in novel ways</w:t>
      </w:r>
      <w:hyperlink r:id="rId22">
        <w:r>
          <w:rPr>
            <w:rStyle w:val="Hyperlink"/>
          </w:rPr>
          <w:t xml:space="preserve">[2]</w:t>
        </w:r>
      </w:hyperlink>
      <w:r>
        <w:t xml:space="preserve">.</w:t>
      </w:r>
    </w:p>
    <w:p>
      <w:pPr>
        <w:pStyle w:val="Compact"/>
        <w:numPr>
          <w:ilvl w:val="0"/>
          <w:numId w:val="1002"/>
        </w:numPr>
      </w:pPr>
      <w:r>
        <w:rPr>
          <w:b/>
          <w:bCs/>
        </w:rPr>
        <w:t xml:space="preserve">“Collaboratory” Model:</w:t>
      </w:r>
      <w:r>
        <w:t xml:space="preserve"> </w:t>
      </w:r>
      <w:r>
        <w:t xml:space="preserve">Brings together diverse fields (STEM, humanities, arts) under one roof to spark novel ideas. This mirrors PM Lee’s vision of CREATE as an interdisciplinary “collaboratory” with global partners</w:t>
      </w:r>
      <w:hyperlink r:id="rId23">
        <w:r>
          <w:rPr>
            <w:rStyle w:val="Hyperlink"/>
          </w:rPr>
          <w:t xml:space="preserve">[3]</w:t>
        </w:r>
      </w:hyperlink>
      <w:r>
        <w:t xml:space="preserve">.</w:t>
      </w:r>
    </w:p>
    <w:p>
      <w:pPr>
        <w:pStyle w:val="Compact"/>
        <w:numPr>
          <w:ilvl w:val="0"/>
          <w:numId w:val="1002"/>
        </w:numPr>
      </w:pPr>
      <w:r>
        <w:rPr>
          <w:b/>
          <w:bCs/>
        </w:rPr>
        <w:t xml:space="preserve">Innovation-Focused:</w:t>
      </w:r>
      <w:r>
        <w:t xml:space="preserve"> </w:t>
      </w:r>
      <w:r>
        <w:t xml:space="preserve">Prioritizes creativity and impact in line with TechTrove scoring – Concept &amp; Innovation is weighted 40% in the rubric</w:t>
      </w:r>
      <w:hyperlink r:id="rId26">
        <w:r>
          <w:rPr>
            <w:rStyle w:val="Hyperlink"/>
          </w:rPr>
          <w:t xml:space="preserve">[5]</w:t>
        </w:r>
      </w:hyperlink>
      <w:r>
        <w:t xml:space="preserve">, so our pitch highlights originality, problem-fit and societal benefit (e.g. solving national challenges).</w:t>
      </w:r>
    </w:p>
    <w:p>
      <w:pPr>
        <w:pStyle w:val="FirstParagraph"/>
      </w:pPr>
      <w:r>
        <w:rPr>
          <w:i/>
          <w:iCs/>
        </w:rPr>
        <w:t xml:space="preserve">Presentation notes:</w:t>
      </w:r>
      <w:r>
        <w:t xml:space="preserve"> </w:t>
      </w:r>
      <w:r>
        <w:t xml:space="preserve">Stress that InterNexus is the “blue sky” idea at the heart of our project. Explain how it embodies the Open Innovation track by permitting a truly novel approach. Mention how it aims for high-impact research, not incremental improvements. Use the rubric’s emphasis on innovation as a check: this slide is about the big idea that impresses with creativity and relevance.</w:t>
      </w:r>
    </w:p>
    <w:bookmarkEnd w:id="27"/>
    <w:bookmarkStart w:id="31" w:name="slide-3-technical-execution-progress"/>
    <w:p>
      <w:pPr>
        <w:pStyle w:val="Heading2"/>
      </w:pPr>
      <w:r>
        <w:t xml:space="preserve">Slide 3: Technical Execution &amp; Progress</w:t>
      </w:r>
    </w:p>
    <w:p>
      <w:pPr>
        <w:pStyle w:val="Compact"/>
        <w:numPr>
          <w:ilvl w:val="0"/>
          <w:numId w:val="1003"/>
        </w:numPr>
      </w:pPr>
      <w:r>
        <w:rPr>
          <w:b/>
          <w:bCs/>
        </w:rPr>
        <w:t xml:space="preserve">Prototype Development:</w:t>
      </w:r>
      <w:r>
        <w:t xml:space="preserve"> </w:t>
      </w:r>
      <w:r>
        <w:t xml:space="preserve">We have built a working platform prototype demonstrating InterNexus’s core functionality (e.g. collaborative project dashboard, data-sharing tools) – fulfilling the rubric’s</w:t>
      </w:r>
      <w:r>
        <w:t xml:space="preserve"> </w:t>
      </w:r>
      <w:r>
        <w:rPr>
          <w:i/>
          <w:iCs/>
        </w:rPr>
        <w:t xml:space="preserve">Functionality</w:t>
      </w:r>
      <w:r>
        <w:t xml:space="preserve"> </w:t>
      </w:r>
      <w:r>
        <w:t xml:space="preserve">criterion</w:t>
      </w:r>
      <w:hyperlink r:id="rId28">
        <w:r>
          <w:rPr>
            <w:rStyle w:val="Hyperlink"/>
          </w:rPr>
          <w:t xml:space="preserve">[6]</w:t>
        </w:r>
      </w:hyperlink>
      <w:r>
        <w:t xml:space="preserve">.</w:t>
      </w:r>
    </w:p>
    <w:p>
      <w:pPr>
        <w:pStyle w:val="Compact"/>
        <w:numPr>
          <w:ilvl w:val="0"/>
          <w:numId w:val="1003"/>
        </w:numPr>
      </w:pPr>
      <w:r>
        <w:rPr>
          <w:b/>
          <w:bCs/>
        </w:rPr>
        <w:t xml:space="preserve">Technical Sophistication:</w:t>
      </w:r>
      <w:r>
        <w:t xml:space="preserve"> </w:t>
      </w:r>
      <w:r>
        <w:t xml:space="preserve">The system uses cloud-based infrastructure and AI-driven analytics to match partners and manage projects, reflecting the</w:t>
      </w:r>
      <w:r>
        <w:t xml:space="preserve"> </w:t>
      </w:r>
      <w:r>
        <w:rPr>
          <w:i/>
          <w:iCs/>
        </w:rPr>
        <w:t xml:space="preserve">Technical Complexity</w:t>
      </w:r>
      <w:r>
        <w:t xml:space="preserve"> </w:t>
      </w:r>
      <w:r>
        <w:t xml:space="preserve">aspect of the rubric</w:t>
      </w:r>
      <w:hyperlink r:id="rId29">
        <w:r>
          <w:rPr>
            <w:rStyle w:val="Hyperlink"/>
          </w:rPr>
          <w:t xml:space="preserve">[7]</w:t>
        </w:r>
      </w:hyperlink>
      <w:r>
        <w:t xml:space="preserve">.</w:t>
      </w:r>
    </w:p>
    <w:p>
      <w:pPr>
        <w:pStyle w:val="Compact"/>
        <w:numPr>
          <w:ilvl w:val="0"/>
          <w:numId w:val="1003"/>
        </w:numPr>
      </w:pPr>
      <w:r>
        <w:rPr>
          <w:b/>
          <w:bCs/>
        </w:rPr>
        <w:t xml:space="preserve">User Experience:</w:t>
      </w:r>
      <w:r>
        <w:t xml:space="preserve"> </w:t>
      </w:r>
      <w:r>
        <w:t xml:space="preserve">The interface is intuitive and user-friendly, aligning with the rubric’s</w:t>
      </w:r>
      <w:r>
        <w:t xml:space="preserve"> </w:t>
      </w:r>
      <w:r>
        <w:rPr>
          <w:i/>
          <w:iCs/>
        </w:rPr>
        <w:t xml:space="preserve">UX &amp; Design</w:t>
      </w:r>
      <w:r>
        <w:t xml:space="preserve"> </w:t>
      </w:r>
      <w:r>
        <w:t xml:space="preserve">criteria</w:t>
      </w:r>
      <w:hyperlink r:id="rId30">
        <w:r>
          <w:rPr>
            <w:rStyle w:val="Hyperlink"/>
          </w:rPr>
          <w:t xml:space="preserve">[8]</w:t>
        </w:r>
      </w:hyperlink>
      <w:r>
        <w:t xml:space="preserve">. Early testers find it easy to navigate cross-disciplinary research profiles.</w:t>
      </w:r>
    </w:p>
    <w:p>
      <w:pPr>
        <w:pStyle w:val="Compact"/>
        <w:numPr>
          <w:ilvl w:val="0"/>
          <w:numId w:val="1003"/>
        </w:numPr>
      </w:pPr>
      <w:r>
        <w:rPr>
          <w:b/>
          <w:bCs/>
        </w:rPr>
        <w:t xml:space="preserve">Ongoing Development:</w:t>
      </w:r>
      <w:r>
        <w:t xml:space="preserve"> </w:t>
      </w:r>
      <w:r>
        <w:t xml:space="preserve">We have clearly defined next steps (e.g. adding more domains, scaling the database) to continue progress after the hackathon.</w:t>
      </w:r>
    </w:p>
    <w:p>
      <w:pPr>
        <w:pStyle w:val="FirstParagraph"/>
      </w:pPr>
      <w:r>
        <w:rPr>
          <w:i/>
          <w:iCs/>
        </w:rPr>
        <w:t xml:space="preserve">Presentation notes:</w:t>
      </w:r>
      <w:r>
        <w:t xml:space="preserve"> </w:t>
      </w:r>
      <w:r>
        <w:t xml:space="preserve">Demonstrate that this is not just a concept – show (or describe) screenshots of the prototype if possible. Explain key technical elements and how they work. Reassure listeners that even in 24 hours we have achieved tangible progress. Use language of “we have implemented X” and “we are building Y” to convey momentum.</w:t>
      </w:r>
    </w:p>
    <w:bookmarkEnd w:id="31"/>
    <w:bookmarkStart w:id="33" w:name="slide-4-feasibility-future-potential"/>
    <w:p>
      <w:pPr>
        <w:pStyle w:val="Heading2"/>
      </w:pPr>
      <w:r>
        <w:t xml:space="preserve">Slide 4: Feasibility &amp; Future Potential</w:t>
      </w:r>
    </w:p>
    <w:p>
      <w:pPr>
        <w:pStyle w:val="Compact"/>
        <w:numPr>
          <w:ilvl w:val="0"/>
          <w:numId w:val="1004"/>
        </w:numPr>
      </w:pPr>
      <w:r>
        <w:rPr>
          <w:b/>
          <w:bCs/>
        </w:rPr>
        <w:t xml:space="preserve">Strong Foundation:</w:t>
      </w:r>
      <w:r>
        <w:t xml:space="preserve"> </w:t>
      </w:r>
      <w:r>
        <w:t xml:space="preserve">Singapore treats R&amp;D as a strategic investment. Decades of steady funding and capability-building mean InterNexus has a solid base to grow</w:t>
      </w:r>
      <w:hyperlink r:id="rId21">
        <w:r>
          <w:rPr>
            <w:rStyle w:val="Hyperlink"/>
          </w:rPr>
          <w:t xml:space="preserve">[1]</w:t>
        </w:r>
      </w:hyperlink>
      <w:r>
        <w:t xml:space="preserve">.</w:t>
      </w:r>
    </w:p>
    <w:p>
      <w:pPr>
        <w:pStyle w:val="Compact"/>
        <w:numPr>
          <w:ilvl w:val="0"/>
          <w:numId w:val="1004"/>
        </w:numPr>
      </w:pPr>
      <w:r>
        <w:rPr>
          <w:b/>
          <w:bCs/>
        </w:rPr>
        <w:t xml:space="preserve">Scalable Roadmap:</w:t>
      </w:r>
      <w:r>
        <w:t xml:space="preserve"> </w:t>
      </w:r>
      <w:r>
        <w:t xml:space="preserve">We have a phased rollout plan (starting with pilot research clusters, then expanding nationwide) ensuring realistic</w:t>
      </w:r>
      <w:r>
        <w:t xml:space="preserve"> </w:t>
      </w:r>
      <w:r>
        <w:rPr>
          <w:i/>
          <w:iCs/>
        </w:rPr>
        <w:t xml:space="preserve">viability and scalability</w:t>
      </w:r>
      <w:r>
        <w:t xml:space="preserve"> </w:t>
      </w:r>
      <w:r>
        <w:t xml:space="preserve">– exactly the focus of the TechTrove Feasibility pillar</w:t>
      </w:r>
      <w:hyperlink r:id="rId32">
        <w:r>
          <w:rPr>
            <w:rStyle w:val="Hyperlink"/>
          </w:rPr>
          <w:t xml:space="preserve">[9]</w:t>
        </w:r>
      </w:hyperlink>
      <w:r>
        <w:t xml:space="preserve">.</w:t>
      </w:r>
    </w:p>
    <w:p>
      <w:pPr>
        <w:pStyle w:val="Compact"/>
        <w:numPr>
          <w:ilvl w:val="0"/>
          <w:numId w:val="1004"/>
        </w:numPr>
      </w:pPr>
      <w:r>
        <w:rPr>
          <w:b/>
          <w:bCs/>
        </w:rPr>
        <w:t xml:space="preserve">Economic &amp; Societal Impact:</w:t>
      </w:r>
      <w:r>
        <w:t xml:space="preserve"> </w:t>
      </w:r>
      <w:r>
        <w:t xml:space="preserve">By channeling research into new products, startups and policies, InterNexus aims for tangible outcomes (new industries in cleantech, healthcare, etc.), in line with Singapore’s goal to translate R&amp;D into growth</w:t>
      </w:r>
      <w:hyperlink r:id="rId21">
        <w:r>
          <w:rPr>
            <w:rStyle w:val="Hyperlink"/>
          </w:rPr>
          <w:t xml:space="preserve">[1]</w:t>
        </w:r>
      </w:hyperlink>
      <w:r>
        <w:t xml:space="preserve">.</w:t>
      </w:r>
    </w:p>
    <w:p>
      <w:pPr>
        <w:pStyle w:val="Compact"/>
        <w:numPr>
          <w:ilvl w:val="0"/>
          <w:numId w:val="1004"/>
        </w:numPr>
      </w:pPr>
      <w:r>
        <w:rPr>
          <w:b/>
          <w:bCs/>
        </w:rPr>
        <w:t xml:space="preserve">Sustainability:</w:t>
      </w:r>
      <w:r>
        <w:t xml:space="preserve"> </w:t>
      </w:r>
      <w:r>
        <w:t xml:space="preserve">Public-private co-funding and industry partnerships are built into the plan, ensuring resources and real-world testbeds continue beyond initial launch.</w:t>
      </w:r>
    </w:p>
    <w:p>
      <w:pPr>
        <w:pStyle w:val="FirstParagraph"/>
      </w:pPr>
      <w:r>
        <w:rPr>
          <w:i/>
          <w:iCs/>
        </w:rPr>
        <w:t xml:space="preserve">Presentation notes:</w:t>
      </w:r>
      <w:r>
        <w:t xml:space="preserve"> </w:t>
      </w:r>
      <w:r>
        <w:t xml:space="preserve">Address investors’ and administrators’ concerns by citing Singapore’s track record of R&amp;D success. Emphasize that the program is designed for long-term sustainability: there are clear plans to secure funding (government grants, industry consortia, philanthropy) and to scale gradually. Mention that the project leverages existing institutions (labs, industry clusters) to reduce risk.</w:t>
      </w:r>
    </w:p>
    <w:bookmarkEnd w:id="33"/>
    <w:bookmarkStart w:id="36" w:name="Xb376744ef19d77c769c1067f0f924f159194efb"/>
    <w:p>
      <w:pPr>
        <w:pStyle w:val="Heading2"/>
      </w:pPr>
      <w:r>
        <w:t xml:space="preserve">Slide 5: Strategic Partnerships &amp; Open Innovation</w:t>
      </w:r>
    </w:p>
    <w:p>
      <w:pPr>
        <w:pStyle w:val="Compact"/>
        <w:numPr>
          <w:ilvl w:val="0"/>
          <w:numId w:val="1005"/>
        </w:numPr>
      </w:pPr>
      <w:r>
        <w:rPr>
          <w:b/>
          <w:bCs/>
        </w:rPr>
        <w:t xml:space="preserve">Cross-Sector Nexus:</w:t>
      </w:r>
      <w:r>
        <w:t xml:space="preserve"> </w:t>
      </w:r>
      <w:r>
        <w:t xml:space="preserve">InterNexus will actively connect academia, government agencies, industry, NGOs and international institutions in shared projects, reflecting best practices for collaboration</w:t>
      </w:r>
      <w:hyperlink r:id="rId34">
        <w:r>
          <w:rPr>
            <w:rStyle w:val="Hyperlink"/>
          </w:rPr>
          <w:t xml:space="preserve">[10]</w:t>
        </w:r>
      </w:hyperlink>
      <w:hyperlink r:id="rId35">
        <w:r>
          <w:rPr>
            <w:rStyle w:val="Hyperlink"/>
          </w:rPr>
          <w:t xml:space="preserve">[11]</w:t>
        </w:r>
      </w:hyperlink>
      <w:r>
        <w:t xml:space="preserve">.</w:t>
      </w:r>
    </w:p>
    <w:p>
      <w:pPr>
        <w:pStyle w:val="Compact"/>
        <w:numPr>
          <w:ilvl w:val="0"/>
          <w:numId w:val="1005"/>
        </w:numPr>
      </w:pPr>
      <w:r>
        <w:rPr>
          <w:b/>
          <w:bCs/>
        </w:rPr>
        <w:t xml:space="preserve">Global Linkages:</w:t>
      </w:r>
      <w:r>
        <w:t xml:space="preserve"> </w:t>
      </w:r>
      <w:r>
        <w:t xml:space="preserve">This initiative fulfills Singapore’s stated goal to “strengthen and build international partnerships”</w:t>
      </w:r>
      <w:hyperlink r:id="rId35">
        <w:r>
          <w:rPr>
            <w:rStyle w:val="Hyperlink"/>
          </w:rPr>
          <w:t xml:space="preserve">[11]</w:t>
        </w:r>
      </w:hyperlink>
      <w:r>
        <w:t xml:space="preserve"> </w:t>
      </w:r>
      <w:r>
        <w:t xml:space="preserve">– for example, by inviting MNC R&amp;D centers and foreign universities to join projects, boosting our talent and market reach.</w:t>
      </w:r>
    </w:p>
    <w:p>
      <w:pPr>
        <w:pStyle w:val="Compact"/>
        <w:numPr>
          <w:ilvl w:val="0"/>
          <w:numId w:val="1005"/>
        </w:numPr>
      </w:pPr>
      <w:r>
        <w:rPr>
          <w:b/>
          <w:bCs/>
        </w:rPr>
        <w:t xml:space="preserve">Open Innovation Platform:</w:t>
      </w:r>
      <w:r>
        <w:t xml:space="preserve"> </w:t>
      </w:r>
      <w:r>
        <w:t xml:space="preserve">By breaking down silos and encouraging shared IP and ideas, we create an open-innovation environment. This mirrors NSF-style cooperative research centers where multi-sector teams tackle big challenges</w:t>
      </w:r>
      <w:hyperlink r:id="rId34">
        <w:r>
          <w:rPr>
            <w:rStyle w:val="Hyperlink"/>
          </w:rPr>
          <w:t xml:space="preserve">[10]</w:t>
        </w:r>
      </w:hyperlink>
      <w:r>
        <w:t xml:space="preserve">.</w:t>
      </w:r>
    </w:p>
    <w:p>
      <w:pPr>
        <w:pStyle w:val="Compact"/>
        <w:numPr>
          <w:ilvl w:val="0"/>
          <w:numId w:val="1005"/>
        </w:numPr>
      </w:pPr>
      <w:r>
        <w:rPr>
          <w:b/>
          <w:bCs/>
        </w:rPr>
        <w:t xml:space="preserve">Academic-Industry Synergy:</w:t>
      </w:r>
      <w:r>
        <w:t xml:space="preserve"> </w:t>
      </w:r>
      <w:r>
        <w:t xml:space="preserve">Engages companies as co-investors and end-users, integrating student training and internships. This bridges theory and practice, aligning with the liberal-arts and tech faculty interest in real-world impact.</w:t>
      </w:r>
    </w:p>
    <w:p>
      <w:pPr>
        <w:pStyle w:val="FirstParagraph"/>
      </w:pPr>
      <w:r>
        <w:rPr>
          <w:i/>
          <w:iCs/>
        </w:rPr>
        <w:t xml:space="preserve">Presentation notes:</w:t>
      </w:r>
      <w:r>
        <w:t xml:space="preserve"> </w:t>
      </w:r>
      <w:r>
        <w:t xml:space="preserve">Stress that partnerships are central. Mention how this matches national strategy (RIE plans emphasize partnerships</w:t>
      </w:r>
      <w:hyperlink r:id="rId35">
        <w:r>
          <w:rPr>
            <w:rStyle w:val="Hyperlink"/>
          </w:rPr>
          <w:t xml:space="preserve">[11]</w:t>
        </w:r>
      </w:hyperlink>
      <w:r>
        <w:t xml:space="preserve">). Give examples: “We envision co-labs sponsored by tech firms, joint PhD programs, and global project teams.” Use authoritative tone (“we will do X to achieve Y”), reflecting policy speech style.</w:t>
      </w:r>
    </w:p>
    <w:bookmarkEnd w:id="36"/>
    <w:bookmarkStart w:id="37" w:name="slide-6-conclusion-call-to-action"/>
    <w:p>
      <w:pPr>
        <w:pStyle w:val="Heading2"/>
      </w:pPr>
      <w:r>
        <w:t xml:space="preserve">Slide 6: Conclusion &amp; Call to Action</w:t>
      </w:r>
    </w:p>
    <w:p>
      <w:pPr>
        <w:pStyle w:val="Compact"/>
        <w:numPr>
          <w:ilvl w:val="0"/>
          <w:numId w:val="1006"/>
        </w:numPr>
      </w:pPr>
      <w:r>
        <w:rPr>
          <w:b/>
          <w:bCs/>
        </w:rPr>
        <w:t xml:space="preserve">Aligned with National Vision:</w:t>
      </w:r>
      <w:r>
        <w:t xml:space="preserve"> </w:t>
      </w:r>
      <w:r>
        <w:t xml:space="preserve">InterNexus embodies the pragmatic, long-term R&amp;D approach championed by leaders – steady research investment has already “driven new economic opportunities” for Singapore</w:t>
      </w:r>
      <w:hyperlink r:id="rId24">
        <w:r>
          <w:rPr>
            <w:rStyle w:val="Hyperlink"/>
          </w:rPr>
          <w:t xml:space="preserve">[4]</w:t>
        </w:r>
      </w:hyperlink>
      <w:hyperlink r:id="rId21">
        <w:r>
          <w:rPr>
            <w:rStyle w:val="Hyperlink"/>
          </w:rPr>
          <w:t xml:space="preserve">[1]</w:t>
        </w:r>
      </w:hyperlink>
      <w:r>
        <w:t xml:space="preserve">.</w:t>
      </w:r>
    </w:p>
    <w:p>
      <w:pPr>
        <w:pStyle w:val="Compact"/>
        <w:numPr>
          <w:ilvl w:val="0"/>
          <w:numId w:val="1006"/>
        </w:numPr>
      </w:pPr>
      <w:r>
        <w:rPr>
          <w:b/>
          <w:bCs/>
        </w:rPr>
        <w:t xml:space="preserve">Forward-Looking Impact:</w:t>
      </w:r>
      <w:r>
        <w:t xml:space="preserve"> </w:t>
      </w:r>
      <w:r>
        <w:t xml:space="preserve">By turning interdisciplinary ideas into solutions (for example, new clean-energy technologies or digital health applications), we continue Singapore’s track record of science driving economic growth and quality of life</w:t>
      </w:r>
      <w:hyperlink r:id="rId24">
        <w:r>
          <w:rPr>
            <w:rStyle w:val="Hyperlink"/>
          </w:rPr>
          <w:t xml:space="preserve">[4]</w:t>
        </w:r>
      </w:hyperlink>
      <w:r>
        <w:t xml:space="preserve">.</w:t>
      </w:r>
    </w:p>
    <w:p>
      <w:pPr>
        <w:pStyle w:val="Compact"/>
        <w:numPr>
          <w:ilvl w:val="0"/>
          <w:numId w:val="1006"/>
        </w:numPr>
      </w:pPr>
      <w:r>
        <w:rPr>
          <w:b/>
          <w:bCs/>
        </w:rPr>
        <w:t xml:space="preserve">Invitation to Collaborate:</w:t>
      </w:r>
      <w:r>
        <w:t xml:space="preserve"> </w:t>
      </w:r>
      <w:r>
        <w:t xml:space="preserve">We invite all stakeholders – faculty across disciplines, students, industry partners and investors – to join us. Your support and insight will help realize this shared vision of innovation and national progress.</w:t>
      </w:r>
    </w:p>
    <w:p>
      <w:pPr>
        <w:pStyle w:val="FirstParagraph"/>
      </w:pPr>
      <w:r>
        <w:rPr>
          <w:i/>
          <w:iCs/>
        </w:rPr>
        <w:t xml:space="preserve">Presentation notes:</w:t>
      </w:r>
      <w:r>
        <w:t xml:space="preserve"> </w:t>
      </w:r>
      <w:r>
        <w:t xml:space="preserve">Reiterate optimism and confidence. Emphasize that InterNexus is more than a project – it’s a strategic opportunity for Singapore to lead globally. Make a clear call to action: encourage questions, partnership interest and investment. Use inclusive language (“our vision”, “together”) to engage the audience.</w:t>
      </w:r>
    </w:p>
    <w:bookmarkEnd w:id="37"/>
    <w:bookmarkStart w:id="38" w:name="slide-7-qa-anticipated-questions"/>
    <w:p>
      <w:pPr>
        <w:pStyle w:val="Heading2"/>
      </w:pPr>
      <w:r>
        <w:t xml:space="preserve">Slide 7: Q&amp;A – Anticipated Questions</w:t>
      </w:r>
    </w:p>
    <w:p>
      <w:pPr>
        <w:pStyle w:val="Compact"/>
        <w:numPr>
          <w:ilvl w:val="0"/>
          <w:numId w:val="1007"/>
        </w:numPr>
      </w:pPr>
      <w:r>
        <w:rPr>
          <w:b/>
          <w:bCs/>
        </w:rPr>
        <w:t xml:space="preserve">How will InterNexus secure long-term funding and governance?</w:t>
      </w:r>
      <w:r>
        <w:t xml:space="preserve"> </w:t>
      </w:r>
      <w:r>
        <w:t xml:space="preserve">(e.g. public grants, industry consortia, endowments)</w:t>
      </w:r>
    </w:p>
    <w:p>
      <w:pPr>
        <w:pStyle w:val="Compact"/>
        <w:numPr>
          <w:ilvl w:val="0"/>
          <w:numId w:val="1007"/>
        </w:numPr>
      </w:pPr>
      <w:r>
        <w:rPr>
          <w:b/>
          <w:bCs/>
        </w:rPr>
        <w:t xml:space="preserve">What outcomes or metrics will define success?</w:t>
      </w:r>
      <w:r>
        <w:t xml:space="preserve"> </w:t>
      </w:r>
      <w:r>
        <w:t xml:space="preserve">(e.g. number of joint patents, startups launched, publications, industry contracts)</w:t>
      </w:r>
    </w:p>
    <w:p>
      <w:pPr>
        <w:pStyle w:val="Compact"/>
        <w:numPr>
          <w:ilvl w:val="0"/>
          <w:numId w:val="1007"/>
        </w:numPr>
      </w:pPr>
      <w:r>
        <w:rPr>
          <w:b/>
          <w:bCs/>
        </w:rPr>
        <w:t xml:space="preserve">How will we facilitate effective collaboration among very different partners?</w:t>
      </w:r>
      <w:r>
        <w:t xml:space="preserve"> </w:t>
      </w:r>
      <w:r>
        <w:t xml:space="preserve">(e.g. governance structure, shared infrastructure, IP frameworks)</w:t>
      </w:r>
    </w:p>
    <w:p>
      <w:pPr>
        <w:pStyle w:val="Compact"/>
        <w:numPr>
          <w:ilvl w:val="0"/>
          <w:numId w:val="1007"/>
        </w:numPr>
      </w:pPr>
      <w:r>
        <w:rPr>
          <w:b/>
          <w:bCs/>
        </w:rPr>
        <w:t xml:space="preserve">What is the implementation timeline and next phases after the hackathon?</w:t>
      </w:r>
      <w:r>
        <w:t xml:space="preserve"> </w:t>
      </w:r>
      <w:r>
        <w:t xml:space="preserve">(major milestones and pilot projects)</w:t>
      </w:r>
    </w:p>
    <w:p>
      <w:pPr>
        <w:pStyle w:val="FirstParagraph"/>
      </w:pPr>
      <w:r>
        <w:rPr>
          <w:i/>
          <w:iCs/>
        </w:rPr>
        <w:t xml:space="preserve">Presentation notes:</w:t>
      </w:r>
      <w:r>
        <w:t xml:space="preserve"> </w:t>
      </w:r>
      <w:r>
        <w:t xml:space="preserve">Invite questions on these likely issues. Be prepared with specifics (for example, mention planned seed funding calls, advisory board formation, KPI dashboards). Conclude by thanking everyone for their attention and expressing readiness to engage further.</w:t>
      </w:r>
    </w:p>
    <w:p>
      <w:pPr>
        <w:pStyle w:val="BodyText"/>
      </w:pPr>
      <w:r>
        <w:rPr>
          <w:b/>
          <w:bCs/>
        </w:rPr>
        <w:t xml:space="preserve">Sources:</w:t>
      </w:r>
      <w:r>
        <w:t xml:space="preserve"> </w:t>
      </w:r>
      <w:r>
        <w:t xml:space="preserve">Details of Singapore’s R&amp;D strategy and collaborative models</w:t>
      </w:r>
      <w:hyperlink r:id="rId21">
        <w:r>
          <w:rPr>
            <w:rStyle w:val="Hyperlink"/>
          </w:rPr>
          <w:t xml:space="preserve">[1]</w:t>
        </w:r>
      </w:hyperlink>
      <w:hyperlink r:id="rId35">
        <w:r>
          <w:rPr>
            <w:rStyle w:val="Hyperlink"/>
          </w:rPr>
          <w:t xml:space="preserve">[11]</w:t>
        </w:r>
      </w:hyperlink>
      <w:hyperlink r:id="rId23">
        <w:r>
          <w:rPr>
            <w:rStyle w:val="Hyperlink"/>
          </w:rPr>
          <w:t xml:space="preserve">[3]</w:t>
        </w:r>
      </w:hyperlink>
      <w:hyperlink r:id="rId24">
        <w:r>
          <w:rPr>
            <w:rStyle w:val="Hyperlink"/>
          </w:rPr>
          <w:t xml:space="preserve">[4]</w:t>
        </w:r>
      </w:hyperlink>
      <w:r>
        <w:t xml:space="preserve">; TechTrove hackathon rubric and guidelines</w:t>
      </w:r>
      <w:hyperlink r:id="rId26">
        <w:r>
          <w:rPr>
            <w:rStyle w:val="Hyperlink"/>
          </w:rPr>
          <w:t xml:space="preserve">[5]</w:t>
        </w:r>
      </w:hyperlink>
      <w:hyperlink r:id="rId28">
        <w:r>
          <w:rPr>
            <w:rStyle w:val="Hyperlink"/>
          </w:rPr>
          <w:t xml:space="preserve">[12]</w:t>
        </w:r>
      </w:hyperlink>
      <w:r>
        <w:t xml:space="preserve">.</w:t>
      </w:r>
    </w:p>
    <w:bookmarkEnd w:id="38"/>
    <w:bookmarkEnd w:id="39"/>
    <w:bookmarkEnd w:id="40"/>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35">
        <w:r>
          <w:rPr>
            <w:rStyle w:val="Hyperlink"/>
          </w:rPr>
          <w:t xml:space="preserve">[11]</w:t>
        </w:r>
      </w:hyperlink>
      <w:r>
        <w:t xml:space="preserve"> </w:t>
      </w:r>
      <w:r>
        <w:t xml:space="preserve">file.go.gov.sg</w:t>
      </w:r>
    </w:p>
    <w:p>
      <w:pPr>
        <w:pStyle w:val="BodyText"/>
      </w:pPr>
      <w:hyperlink r:id="rId41">
        <w:r>
          <w:rPr>
            <w:rStyle w:val="Hyperlink"/>
          </w:rPr>
          <w:t xml:space="preserve">https://file.go.gov.sg/rie-2025-handbook.pdf</w:t>
        </w:r>
      </w:hyperlink>
    </w:p>
    <w:p>
      <w:pPr>
        <w:pStyle w:val="BodyText"/>
      </w:pPr>
      <w:hyperlink r:id="rId22">
        <w:r>
          <w:rPr>
            <w:rStyle w:val="Hyperlink"/>
          </w:rPr>
          <w:t xml:space="preserve">[2]</w:t>
        </w:r>
      </w:hyperlink>
      <w:r>
        <w:t xml:space="preserve"> </w:t>
      </w:r>
      <w:r>
        <w:t xml:space="preserve">TechTrove 2_Submission Details.pdf</w:t>
      </w:r>
    </w:p>
    <w:p>
      <w:pPr>
        <w:pStyle w:val="BodyText"/>
      </w:pPr>
      <w:hyperlink r:id="rId42">
        <w:r>
          <w:rPr>
            <w:rStyle w:val="Hyperlink"/>
          </w:rPr>
          <w:t xml:space="preserve">file://file_0000000008e872079b0661729c3df1c9</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PM Lee Hsien Loong at the Opening of Campus for Research Excellence and Technological Enterprise (CREATE) | Prime Minister's Office Singapore</w:t>
      </w:r>
    </w:p>
    <w:p>
      <w:pPr>
        <w:pStyle w:val="BodyText"/>
      </w:pPr>
      <w:hyperlink r:id="rId43">
        <w:r>
          <w:rPr>
            <w:rStyle w:val="Hyperlink"/>
          </w:rPr>
          <w:t xml:space="preserve">https://www.pmo.gov.sg/newsroom/speech-prime-minister-lee-hsien-loong-opening-campus-research-excellence-and/</w:t>
        </w:r>
      </w:hyperlink>
    </w:p>
    <w:p>
      <w:pPr>
        <w:pStyle w:val="BodyText"/>
      </w:pPr>
      <w:hyperlink r:id="rId26">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2">
        <w:r>
          <w:rPr>
            <w:rStyle w:val="Hyperlink"/>
          </w:rPr>
          <w:t xml:space="preserve">[9]</w:t>
        </w:r>
      </w:hyperlink>
      <w:r>
        <w:t xml:space="preserve"> </w:t>
      </w:r>
      <w:hyperlink r:id="rId28">
        <w:r>
          <w:rPr>
            <w:rStyle w:val="Hyperlink"/>
          </w:rPr>
          <w:t xml:space="preserve">[12]</w:t>
        </w:r>
      </w:hyperlink>
      <w:r>
        <w:t xml:space="preserve"> </w:t>
      </w:r>
      <w:r>
        <w:t xml:space="preserve">Judging Rubric for TechTrove Hackathon.pdf</w:t>
      </w:r>
    </w:p>
    <w:p>
      <w:pPr>
        <w:pStyle w:val="BodyText"/>
      </w:pPr>
      <w:hyperlink r:id="rId44">
        <w:r>
          <w:rPr>
            <w:rStyle w:val="Hyperlink"/>
          </w:rPr>
          <w:t xml:space="preserve">file://file_00000000c1b471faba02236035c44f6c</w:t>
        </w:r>
      </w:hyperlink>
    </w:p>
    <w:p>
      <w:pPr>
        <w:pStyle w:val="BodyText"/>
      </w:pPr>
      <w:hyperlink r:id="rId34">
        <w:r>
          <w:rPr>
            <w:rStyle w:val="Hyperlink"/>
          </w:rPr>
          <w:t xml:space="preserve">[10]</w:t>
        </w:r>
      </w:hyperlink>
      <w:r>
        <w:t xml:space="preserve"> </w:t>
      </w:r>
      <w:r>
        <w:t xml:space="preserve">Research Partnerships | NSF - National Science Foundation</w:t>
      </w:r>
    </w:p>
    <w:p>
      <w:pPr>
        <w:pStyle w:val="BodyText"/>
      </w:pPr>
      <w:hyperlink r:id="rId45">
        <w:r>
          <w:rPr>
            <w:rStyle w:val="Hyperlink"/>
          </w:rPr>
          <w:t xml:space="preserve">https://www.nsf.gov/focus-areas/research-partnerships</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file://file_0000000008e872079b0661729c3df1c9" TargetMode="External" /><Relationship Type="http://schemas.openxmlformats.org/officeDocument/2006/relationships/hyperlink" Id="rId22" Target="file://file_0000000008e872079b0661729c3df1c9#:~:text=4" TargetMode="External" /><Relationship Type="http://schemas.openxmlformats.org/officeDocument/2006/relationships/hyperlink" Id="rId44" Target="file://file_00000000c1b471faba02236035c44f6c" TargetMode="External" /><Relationship Type="http://schemas.openxmlformats.org/officeDocument/2006/relationships/hyperlink" Id="rId28" Target="file://file_00000000c1b471faba02236035c44f6c#:~:text=%E2%97%8F%20Functionality%20%281,the%20prototype%20work%20as%20demonstrated" TargetMode="External" /><Relationship Type="http://schemas.openxmlformats.org/officeDocument/2006/relationships/hyperlink" Id="rId29" Target="file://file_00000000c1b471faba02236035c44f6c#:~:text=%E2%97%8F%20Technical%20Complexity%20%281,to%20build%20a%20robust%20solution" TargetMode="External" /><Relationship Type="http://schemas.openxmlformats.org/officeDocument/2006/relationships/hyperlink" Id="rId30" Target="file://file_00000000c1b471faba02236035c44f6c#:~:text=%E2%97%8F%20User%20Experience%20,application%20intuitive%2C%20easy%20to%20use" TargetMode="External" /><Relationship Type="http://schemas.openxmlformats.org/officeDocument/2006/relationships/hyperlink" Id="rId32" Target="file://file_00000000c1b471faba02236035c44f6c#:~:text=%E2%97%8F%20Viability%20%26%20Scalability%20%281,have%20the%20potential%20to%20grow" TargetMode="External" /><Relationship Type="http://schemas.openxmlformats.org/officeDocument/2006/relationships/hyperlink" Id="rId26" Target="file://file_00000000c1b471faba02236035c44f6c#:~:text=Pillar%201%3A%20Concept%20%26%20Innovation,Weight%3A%2040" TargetMode="External" /><Relationship Type="http://schemas.openxmlformats.org/officeDocument/2006/relationships/hyperlink" Id="rId41" Target="https://file.go.gov.sg/rie-2025-handbook.pdf" TargetMode="External" /><Relationship Type="http://schemas.openxmlformats.org/officeDocument/2006/relationships/hyperlink" Id="rId35" Target="https://file.go.gov.sg/rie-2025-handbook.pdf#:~:text=RIE%20will%20continue%20to%20strengthen,capabilities%20and%20build%20new%20partnerships" TargetMode="External" /><Relationship Type="http://schemas.openxmlformats.org/officeDocument/2006/relationships/hyperlink" Id="rId21" Target="https://file.go.gov.sg/rie-2025-handbook.pdf#:~:text=Steady%20and%20sustained%20investment%20in,performers%20and%20their%20international%20counterparts" TargetMode="External" /><Relationship Type="http://schemas.openxmlformats.org/officeDocument/2006/relationships/hyperlink" Id="rId45" Target="https://www.nsf.gov/focus-areas/research-partnerships" TargetMode="External" /><Relationship Type="http://schemas.openxmlformats.org/officeDocument/2006/relationships/hyperlink" Id="rId34" Target="https://www.nsf.gov/focus-areas/research-partnerships#:~:text=We%20cultivate%20partnerships%20between%20academia%2C,ready%20workforce" TargetMode="External" /><Relationship Type="http://schemas.openxmlformats.org/officeDocument/2006/relationships/hyperlink" Id="rId43" Target="https://www.pmo.gov.sg/newsroom/speech-prime-minister-lee-hsien-loong-opening-campus-research-excellence-and/" TargetMode="External" /><Relationship Type="http://schemas.openxmlformats.org/officeDocument/2006/relationships/hyperlink" Id="rId23" Target="https://www.pmo.gov.sg/newsroom/speech-prime-minister-lee-hsien-loong-opening-campus-research-excellence-and/#:~:text=CREATE%20is%20the%20latest%20effort,environment%20that%20encourages%20a%20cross" TargetMode="External" /><Relationship Type="http://schemas.openxmlformats.org/officeDocument/2006/relationships/hyperlink" Id="rId24" Target="https://www.pmo.gov.sg/newsroom/speech-prime-minister-lee-hsien-loong-opening-campus-research-excellence-and/#:~:text=R%26D%20is%20an%20important%20activity,retain%20and%20develop%20our%20own" TargetMode="External" /></Relationships>
</file>

<file path=word/_rels/footnotes.xml.rels><?xml version="1.0" encoding="UTF-8"?><Relationships xmlns="http://schemas.openxmlformats.org/package/2006/relationships"><Relationship Type="http://schemas.openxmlformats.org/officeDocument/2006/relationships/hyperlink" Id="rId42" Target="file://file_0000000008e872079b0661729c3df1c9" TargetMode="External" /><Relationship Type="http://schemas.openxmlformats.org/officeDocument/2006/relationships/hyperlink" Id="rId22" Target="file://file_0000000008e872079b0661729c3df1c9#:~:text=4" TargetMode="External" /><Relationship Type="http://schemas.openxmlformats.org/officeDocument/2006/relationships/hyperlink" Id="rId44" Target="file://file_00000000c1b471faba02236035c44f6c" TargetMode="External" /><Relationship Type="http://schemas.openxmlformats.org/officeDocument/2006/relationships/hyperlink" Id="rId28" Target="file://file_00000000c1b471faba02236035c44f6c#:~:text=%E2%97%8F%20Functionality%20%281,the%20prototype%20work%20as%20demonstrated" TargetMode="External" /><Relationship Type="http://schemas.openxmlformats.org/officeDocument/2006/relationships/hyperlink" Id="rId29" Target="file://file_00000000c1b471faba02236035c44f6c#:~:text=%E2%97%8F%20Technical%20Complexity%20%281,to%20build%20a%20robust%20solution" TargetMode="External" /><Relationship Type="http://schemas.openxmlformats.org/officeDocument/2006/relationships/hyperlink" Id="rId30" Target="file://file_00000000c1b471faba02236035c44f6c#:~:text=%E2%97%8F%20User%20Experience%20,application%20intuitive%2C%20easy%20to%20use" TargetMode="External" /><Relationship Type="http://schemas.openxmlformats.org/officeDocument/2006/relationships/hyperlink" Id="rId32" Target="file://file_00000000c1b471faba02236035c44f6c#:~:text=%E2%97%8F%20Viability%20%26%20Scalability%20%281,have%20the%20potential%20to%20grow" TargetMode="External" /><Relationship Type="http://schemas.openxmlformats.org/officeDocument/2006/relationships/hyperlink" Id="rId26" Target="file://file_00000000c1b471faba02236035c44f6c#:~:text=Pillar%201%3A%20Concept%20%26%20Innovation,Weight%3A%2040" TargetMode="External" /><Relationship Type="http://schemas.openxmlformats.org/officeDocument/2006/relationships/hyperlink" Id="rId41" Target="https://file.go.gov.sg/rie-2025-handbook.pdf" TargetMode="External" /><Relationship Type="http://schemas.openxmlformats.org/officeDocument/2006/relationships/hyperlink" Id="rId35" Target="https://file.go.gov.sg/rie-2025-handbook.pdf#:~:text=RIE%20will%20continue%20to%20strengthen,capabilities%20and%20build%20new%20partnerships" TargetMode="External" /><Relationship Type="http://schemas.openxmlformats.org/officeDocument/2006/relationships/hyperlink" Id="rId21" Target="https://file.go.gov.sg/rie-2025-handbook.pdf#:~:text=Steady%20and%20sustained%20investment%20in,performers%20and%20their%20international%20counterparts" TargetMode="External" /><Relationship Type="http://schemas.openxmlformats.org/officeDocument/2006/relationships/hyperlink" Id="rId45" Target="https://www.nsf.gov/focus-areas/research-partnerships" TargetMode="External" /><Relationship Type="http://schemas.openxmlformats.org/officeDocument/2006/relationships/hyperlink" Id="rId34" Target="https://www.nsf.gov/focus-areas/research-partnerships#:~:text=We%20cultivate%20partnerships%20between%20academia%2C,ready%20workforce" TargetMode="External" /><Relationship Type="http://schemas.openxmlformats.org/officeDocument/2006/relationships/hyperlink" Id="rId43" Target="https://www.pmo.gov.sg/newsroom/speech-prime-minister-lee-hsien-loong-opening-campus-research-excellence-and/" TargetMode="External" /><Relationship Type="http://schemas.openxmlformats.org/officeDocument/2006/relationships/hyperlink" Id="rId23" Target="https://www.pmo.gov.sg/newsroom/speech-prime-minister-lee-hsien-loong-opening-campus-research-excellence-and/#:~:text=CREATE%20is%20the%20latest%20effort,environment%20that%20encourages%20a%20cross" TargetMode="External" /><Relationship Type="http://schemas.openxmlformats.org/officeDocument/2006/relationships/hyperlink" Id="rId24" Target="https://www.pmo.gov.sg/newsroom/speech-prime-minister-lee-hsien-loong-opening-campus-research-excellence-and/#:~:text=R%26D%20is%20an%20important%20activity,retain%20and%20develop%20our%20ow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2025-11-02T02:56:47Z</dcterms:created>
  <dcterms:modified xsi:type="dcterms:W3CDTF">2025-11-02T02:56:47Z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