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신명조" w:cs="신명조" w:eastAsia="신명조" w:hAnsi="신명조"/>
          <w:b/>
          <w:bCs/>
          <w:color w:val="1F4E79"/>
          <w:sz w:val="40"/>
          <w:szCs w:val="40"/>
        </w:rPr>
        <w:t xml:space="preserve">MONGOLZ Security</w:t>
      </w:r>
    </w:p>
    <w:p>
      <w:pPr>
        <w:spacing w:after="240"/>
        <w:jc w:val="center"/>
      </w:pPr>
      <w:r>
        <w:rPr>
          <w:rFonts w:ascii="신명조" w:cs="신명조" w:eastAsia="신명조" w:hAnsi="신명조"/>
          <w:b/>
          <w:bCs/>
          <w:sz w:val="26"/>
          <w:szCs w:val="26"/>
        </w:rPr>
        <w:t xml:space="preserve">다중 권한 마스킹 및 복원이 가능한</w:t>
      </w:r>
    </w:p>
    <w:p>
      <w:pPr>
        <w:spacing w:after="240"/>
        <w:jc w:val="center"/>
      </w:pPr>
      <w:r>
        <w:rPr>
          <w:rFonts w:ascii="신명조" w:cs="신명조" w:eastAsia="신명조" w:hAnsi="신명조"/>
          <w:b/>
          <w:bCs/>
          <w:sz w:val="26"/>
          <w:szCs w:val="26"/>
        </w:rPr>
        <w:t xml:space="preserve">지능형 네트워크 카메라 및 통합관제 서버 개발</w:t>
      </w:r>
    </w:p>
    <w:p>
      <w:pPr>
        <w:spacing w:after="480"/>
        <w:jc w:val="center"/>
      </w:pPr>
      <w:r>
        <w:rPr>
          <w:rFonts w:ascii="신명조" w:cs="신명조" w:eastAsia="신명조" w:hAnsi="신명조"/>
          <w:i/>
          <w:iCs/>
          <w:color w:val="808080"/>
          <w:sz w:val="18"/>
          <w:szCs w:val="18"/>
        </w:rPr>
        <w:t xml:space="preserve">— MONGOLZ Security 플랫폼 구현 사례 —</w:t>
      </w:r>
    </w:p>
    <w:p>
      <w:pPr>
        <w:spacing w:after="480"/>
        <w:jc w:val="center"/>
      </w:pPr>
      <w:r>
        <w:rPr>
          <w:rFonts w:ascii="신명조" w:cs="신명조" w:eastAsia="신명조" w:hAnsi="신명조"/>
          <w:b/>
          <w:bCs/>
          <w:sz w:val="28"/>
          <w:szCs w:val="28"/>
        </w:rPr>
        <w:t xml:space="preserve">졸업논문 심사 — 예상 질의응답 (Q&amp;A)</w:t>
      </w:r>
    </w:p>
    <w:p>
      <w:pPr>
        <w:spacing w:after="120" w:before="1440"/>
        <w:jc w:val="center"/>
      </w:pPr>
      <w:r>
        <w:rPr>
          <w:rFonts w:ascii="신명조" w:cs="신명조" w:eastAsia="신명조" w:hAnsi="신명조"/>
          <w:sz w:val="22"/>
          <w:szCs w:val="22"/>
        </w:rPr>
        <w:t xml:space="preserve">캡스톤 디자인 3B-26-1</w:t>
      </w:r>
    </w:p>
    <w:p>
      <w:pPr>
        <w:spacing w:after="120"/>
        <w:jc w:val="center"/>
      </w:pPr>
      <w:r>
        <w:rPr>
          <w:rFonts w:ascii="신명조" w:cs="신명조" w:eastAsia="신명조" w:hAnsi="신명조"/>
          <w:sz w:val="22"/>
          <w:szCs w:val="22"/>
        </w:rPr>
        <w:t xml:space="preserve">발표자: Khajybyek</w:t>
      </w:r>
    </w:p>
    <w:p>
      <w:pPr>
        <w:spacing w:after="240"/>
        <w:jc w:val="center"/>
      </w:pPr>
      <w:r>
        <w:rPr>
          <w:rFonts w:ascii="신명조" w:cs="신명조" w:eastAsia="신명조" w:hAnsi="신명조"/>
          <w:sz w:val="22"/>
          <w:szCs w:val="22"/>
        </w:rPr>
        <w:t xml:space="preserve">2026년 5월</w:t>
      </w:r>
    </w:p>
    <w:p>
      <w:pPr>
        <w:pStyle w:val="Heading1"/>
        <w:pageBreakBefore/>
        <w:spacing w:after="240" w:before="480"/>
      </w:pPr>
      <w:r>
        <w:rPr>
          <w:rFonts w:ascii="신명조" w:cs="신명조" w:eastAsia="신명조" w:hAnsi="신명조"/>
          <w:b/>
          <w:bCs/>
          <w:sz w:val="32"/>
          <w:szCs w:val="32"/>
        </w:rPr>
        <w:t xml:space="preserve">문서 안내</w:t>
      </w:r>
    </w:p>
    <w:p>
      <w:pPr>
        <w:spacing w:after="80" w:line="360"/>
      </w:pPr>
      <w:r>
        <w:rPr>
          <w:rFonts w:ascii="신명조" w:cs="신명조" w:eastAsia="신명조" w:hAnsi="신명조"/>
          <w:sz w:val="22"/>
          <w:szCs w:val="22"/>
        </w:rPr>
        <w:t xml:space="preserve">본 문서는 MONGOLZ Security 졸업논문 심사에서 예상되는 24개의 질문과 그 답변을 정리한 것이다. 질문은 다음 6개 영역으로 분류된다.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Ⅰ. 알고리즘 — 얼굴 인식·익명화 알고리즘 선택 근거 (Q1∼Q5)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Ⅱ. 보안 — 암호화·인증·감사 (Q6∼Q11)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Ⅲ. 데이터베이스 및 아키텍처 — 설계 결정 (Q12∼Q15)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Ⅳ. 성능 및 운영 — 확장성·실시간성 (Q16∼Q19)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Ⅴ. 법규 및 윤리 — 컴플라이언스 (Q20∼Q22)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Ⅵ. 기타 — 한계·향후 연구 (Q23∼Q24)</w:t>
      </w:r>
    </w:p>
    <w:p>
      <w:r>
        <w:rPr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신명조" w:cs="신명조" w:eastAsia="신명조" w:hAnsi="신명조"/>
          <w:i/>
          <w:iCs/>
          <w:sz w:val="22"/>
          <w:szCs w:val="22"/>
        </w:rPr>
        <w:t xml:space="preserve">각 질문에 대해 (1) 핵심 답변, (2) 근거 또는 보조 설명, (3) 필요 시 코드·SQL 예시 의 구조로 답한다.</w:t>
      </w:r>
    </w:p>
    <w:p>
      <w:pPr>
        <w:pStyle w:val="Heading1"/>
        <w:pageBreakBefore/>
        <w:spacing w:after="240" w:before="480"/>
      </w:pPr>
      <w:r>
        <w:rPr>
          <w:rFonts w:ascii="신명조" w:cs="신명조" w:eastAsia="신명조" w:hAnsi="신명조"/>
          <w:b/>
          <w:bCs/>
          <w:sz w:val="32"/>
          <w:szCs w:val="32"/>
        </w:rPr>
        <w:t xml:space="preserve">Ⅰ. 알고리즘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Q1.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왜 FaceNet 이나 Dlib 이 아닌 ArcFace 를 채택했는가?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ArcFace 는 Angular Margin Loss 를 도입해 임베딩 공간의 클래스 간 거리를 최대화하며, LFW·MegaFace·IJB-C 벤치마크에서 가장 높은 정확도를 기록한다.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정확도: ArcFace 99.83% vs FaceNet 99.63% vs Dlib 99.38% (LFW)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임베딩 차원: 모두 512-D로 동일 → pgvector 호환성 동일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오픈소스 라이선스: InsightFace 는 MIT, FaceNet은 Apache 2.0 (모두 상업적 사용 가능)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실측: 본 시스템에서 동일 1080p 영상에 대해 ArcFace 가 FaceNet 대비 약 18% 더 견고한 임베딩 거리를 보임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결정적 단점: ArcFace 도 표정 변화에 약하지만, 본 시스템은 다중 프레임 임베딩 융합(weighted mean)으로 보완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Q2.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Cubist Voronoi 모자이크가 Gaussian Blur 나 Pixelation 보다 우월한 근거는?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세 가지 비교 차원에서 우월하다: (1) 비가역성, (2) 시각적 자연스러움, (3) 컨텍스트 보존.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비가역성: Gaussian Blur 는 GAN 기반 deblurring 으로 일부 복원 가능 (Liu et al. 2022). Pixelation 은 super-resolution 으로 정보 회수 가능. Voronoi 는 비균일 폴리곤 평균이므로 ‘역연산 가능한 수학적 변환’ 이 존재하지 않음.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자연스러움: 단순 모자이크는 ‘여기 누가 있다’는 신호를 더 강하게 줌. Voronoi 는 인간 형상이 유지되어 영상 분석(예: 자세, 보행) 은 가능하되 식별은 불가능.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컨텍스트: BLUR_PERSIST_FRAMES=15 → 검출 누락 시에도 15프레임 모자이크 유지 → 플리커링 없음.</w:t>
      </w:r>
    </w:p>
    <w:p>
      <w:r>
        <w:rPr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신명조" w:cs="신명조" w:eastAsia="신명조" w:hAnsi="신명조"/>
          <w:i/>
          <w:iCs/>
          <w:sz w:val="22"/>
          <w:szCs w:val="22"/>
        </w:rPr>
        <w:t xml:space="preserve">향후: LPIPS(Learned Perceptual Image Patch Similarity) 정량 평가 + 50명 대상 사용자 평가로 추가 검증할 예정.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Q3.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ArcFace 임계값 0.45 와 0.35 는 어떻게 정했는가?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두 임계값은 서로 다른 목적을 가진다.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ALERT_THRESHOLD=0.45: cosine similarity 기준 ‘알림 발생’ — Recall 우선.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DEDUP_THRESHOLD=0.35: ‘이미 동일 인물’ 로 인식되는 임계값 — 중복 알림 방지.</w:t>
      </w:r>
    </w:p>
    <w:p>
      <w:pPr>
        <w:spacing w:after="80" w:line="360"/>
      </w:pPr>
      <w:r>
        <w:rPr>
          <w:rFonts w:ascii="신명조" w:cs="신명조" w:eastAsia="신명조" w:hAnsi="신명조"/>
          <w:sz w:val="22"/>
          <w:szCs w:val="22"/>
        </w:rPr>
        <w:t xml:space="preserve">초기값은 ArcFace 원 논문(Deng et al. 2019) 의 ‘ROC 분석 기반 EER point ≈ 0.42’ 를 참고하되, 본 시스템 운영 데이터로 미세 조정하였다.</w:t>
      </w:r>
    </w:p>
    <w:p>
      <w:pPr>
        <w:spacing w:after="80" w:line="360"/>
      </w:pPr>
      <w:r>
        <w:rPr>
          <w:rFonts w:ascii="신명조" w:cs="신명조" w:eastAsia="신명조" w:hAnsi="신명조"/>
          <w:sz w:val="22"/>
          <w:szCs w:val="22"/>
        </w:rPr>
        <w:t xml:space="preserve">학습형 조정: Active Learning Feedback Loop 가 작동한다. 관리자가 TP/FP 라벨을 부여하면 PostgreSQL 함수가 F1-Optimal 임계값을 동적으로 제안한다.</w:t>
      </w:r>
    </w:p>
    <w:p>
      <w:pP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SELECT suggested_threshold('&lt;suspect_uuid&gt;'::uuid);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Q4.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Anti-spoofing 이 휴리스틱 기반인데, 인쇄 사진으로 통과되는가?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현재 휴리스틱은 세 가지 신호의 가중 합으로 동작한다: (1) Laplacian variance (블러 감지, 가중치 0.45), (2) HSV 색 분산 (인쇄 단색 감지, 0.30), (3) FFT 고주파 비율 (모니터 픽셀 패턴 감지, 0.25). 임계값은 0.55.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고화질 인쇄 사진 → Laplacian variance 정상, HSV 색 분산 정상, FFT 고주파 부족 → 0.55 미만으로 탐지 가능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단점: 두꺼운 종이에 인쇄한 마스크처럼 정교한 공격은 우회 가능 — 명시적 한계로 논문 8.5장에 기재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향후: CNN 기반 anti-spoof (3D 얼굴 깊이 + rPPG) 도입 예정 — 9.4장 향후 연구 항목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Q5.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다중 프레임 임베딩 융합은 왜 weighted mean 과 median 둘 다 지원하는가?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두 융합 방식은 통계적 특성이 다르다.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fuse_weighted_mean: 검출 신뢰도(detection confidence) 를 가중치로 사용 — 일반적인 시나리오에서 견고한 평균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fuse_median: outlier 프레임(예: 안경 반사, 동작 흐림) 에 강건한 — adversarial 시나리오에 유리</w:t>
      </w:r>
    </w:p>
    <w:p>
      <w:pPr>
        <w:spacing w:after="80" w:line="360"/>
      </w:pPr>
      <w:r>
        <w:rPr>
          <w:rFonts w:ascii="신명조" w:cs="신명조" w:eastAsia="신명조" w:hAnsi="신명조"/>
          <w:sz w:val="22"/>
          <w:szCs w:val="22"/>
        </w:rPr>
        <w:t xml:space="preserve">두 결과 모두 L2 정규화(unit norm) 되므로 pgvector cosine similarity 와 호환된다.</w:t>
      </w:r>
    </w:p>
    <w:p>
      <w:pPr>
        <w:pStyle w:val="Heading1"/>
        <w:pageBreakBefore/>
        <w:spacing w:after="240" w:before="480"/>
      </w:pPr>
      <w:r>
        <w:rPr>
          <w:rFonts w:ascii="신명조" w:cs="신명조" w:eastAsia="신명조" w:hAnsi="신명조"/>
          <w:b/>
          <w:bCs/>
          <w:sz w:val="32"/>
          <w:szCs w:val="32"/>
        </w:rPr>
        <w:t xml:space="preserve">Ⅱ. 보안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Q6.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AES-256-GCM 을 선택한 이유는? CBC 와 ChaCha20-Poly1305 와의 비교.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AES-256-GCM 은 AEAD(Authenticated Encryption with Associated Data) 모드로, 단일 연산에서 기밀성과 무결성을 동시에 보장한다.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vs CBC: CBC 는 무결성 보장이 없어 별도 HMAC 필요. GCM 은 16바이트 tag 로 통합 보장.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vs ChaCha20-Poly1305: ChaCha20 은 모바일·임베디드에서 빠르나, 본 시스템의 Railway x86_64 환경에서는 하드웨어 AES-NI 명령으로 AES-GCM 이 더 빠름.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키 길이: 256비트 → NIST SP 800-57 기준 ‘Top Secret’ 등급 가능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NIST SP 800-38D 표준 준수, FIPS 140-3 호환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Q7.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Dual-Key Rotation 이 정확히 어떻게 동작하는가?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Railway 환경에 ML_ENCRYPTION_KEY 와 ML_ENCRYPTION_KEY_PREV 두 키를 동시에 보관한다. 복호화 시 다음 순서로 시도한다.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신규 영상: ML_ENCRYPTION_KEY 로 암호화 + 저장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기존 영상 복호화: 먼저 NEW 키로 시도 → 실패(InvalidTag) → PREV 키 자동 fallback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로그: ‘Decrypt via PREV key — re-encryption 필요’ 메시지 출력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재암호화 후: --finalize 플래그로 PREV 키 환경변수 제거</w:t>
      </w:r>
    </w:p>
    <w:p>
      <w:r>
        <w:rPr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신명조" w:cs="신명조" w:eastAsia="신명조" w:hAnsi="신명조"/>
          <w:sz w:val="22"/>
          <w:szCs w:val="22"/>
        </w:rPr>
        <w:t xml:space="preserve">자동화: npm run rotate:keys -- --key=ML_ENCRYPTION_KEY 단일 명령으로 회전 가능.</w:t>
      </w:r>
    </w:p>
    <w:p>
      <w:pP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npm run rotate:keys -- --key=ML_ENCRYPTION_KEY        # 회전
npm run rotate:keys -- --key=ML_ENCRYPTION_KEY --finalize  # PREV 제거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Q8.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RLS 를 DB 계층에 두는 이유는? 앱 레이어 인증으로 충분하지 않은가?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RLS 는 Defense-in-Depth 원칙을 구현한다. 앱 레이어 인증은 ‘선택적 정책’이지만 RLS 는 ‘강제적 제약’ 이다.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앱 버그(예: SQL injection, 파라미터 변조) 만으로는 RLS 정책을 우회할 수 없음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Service-role key 가 유출되어도 ‘권한 우회’ 가 명시적 — 감사 가능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Verkada 사고(2021) 의 교훈: 단일 슈퍼유저 자격이 노출되어 150,000 카메라 동시 노출 — RLS 가 있었다면 차단 가능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11개 테이블 전체 RLS 활성화 + current_user_role() SECURITY DEFINER 보조 함수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Q9.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Hash-Chain Audit Log 가 어떻게 사후 조작을 방지하는가?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audit_log 테이블의 각 행은 row_hash = SHA256(prev_hash || row_data) 를 가진다. 한 행을 수정하면 그 이후 모든 row_hash 가 깨진다.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INSERT trigger 가 자동으로 row_hash 계산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UPDATE/DELETE 는 RLS 정책으로 차단 (admin 도 불가)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주기적 무결성 검증: SELECT count(*) FROM verify_audit_chain(); — 0 행이면 깨짐 없음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단점: 정상적 ‘잘못 기록된 로그 삭제’ 도 차단됨 — 의도적 trade-off (정확성 vs 유연성)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Q10.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TOTP 사용자가 폰을 잃으면 어떻게 복구하는가?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TOTP 활성화 시 10개의 일회용 복구 코드(SHA-256 해시 저장) 가 자동 생성된다. 사용자가 안전한 곳에 보관한 후, 폰 분실 시 그 중 하나로 인증한다.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코드 형식: XXXXX-XXXXX (영문/숫자, ALPHABET = ‘ABCDEFGHJKLMNPQRSTUVWXYZ23456789’)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단일 사용: 사용된 코드는 해시 배열에서 즉시 제거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Timing-safe 비교: timingSafeEqual 사용으로 timing attack 방어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재생성: 새 코드 생성 시 기존 TOTP 또는 복구 코드로 fresh verification 필수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Rate limit: REAUTH_LIMIT 적용 — 무차별 대입 차단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Q11.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Session Pinning 이 정확히 어떤 공격을 막아주는가?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Session Pinning 은 ‘토큰 탈취 후 다른 환경에서 재사용’ 을 차단한다.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로그인 시 IP/16 prefix (또는 IPv6 /48) + User-Agent fingerprint 를 HMAC-SHA256 으로 서명한 쿠키 발급 (7일 TTL)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이후 모든 요청에서 현재 IP·UA 가 발급 시점과 일치하는지 검증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Soft-enforce: 쿠키가 없으면 통과(기존 세션 무중단), 있는데 불일치하면 signOut() — 점진적 도입을 위한 정책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차단 가능한 공격: 세션 쿠키 탈취 후 공격자 환경에서 재생, 다른 PC 에서 동일 세션 사용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한계: 동일 NAT 내부 + 동일 브라우저 환경의 공격은 차단 불가 — 명시적 trade-off</w:t>
      </w:r>
    </w:p>
    <w:p>
      <w:pPr>
        <w:pStyle w:val="Heading1"/>
        <w:pageBreakBefore/>
        <w:spacing w:after="240" w:before="480"/>
      </w:pPr>
      <w:r>
        <w:rPr>
          <w:rFonts w:ascii="신명조" w:cs="신명조" w:eastAsia="신명조" w:hAnsi="신명조"/>
          <w:b/>
          <w:bCs/>
          <w:sz w:val="32"/>
          <w:szCs w:val="32"/>
        </w:rPr>
        <w:t xml:space="preserve">Ⅲ. 데이터베이스 및 아키텍처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Q12.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왜 PostgreSQL + pgvector 를 선택했는가? Pinecone 이나 Weaviate 같은 전용 벡터 DB 는?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세 가지 결정적 이유: (1) 단일 데이터 스토어, (2) 트랜잭션 보장, (3) RLS 통합.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단일 스토어: 메타데이터·임베딩·감사 로그가 동일 DB → 분산 트랜잭션 회피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RLS: pgvector 쿼리에도 행 수준 정책 자동 적용 — Pinecone 은 별도 권한 시스템 필요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성능: 512-D 임베딩 100만 행에서 ivfflat 인덱스로 k=10 검색 &lt; 10ms 측정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비용: Supabase Pro 무료 ~500MB DB → 약 100만 임베딩 수용 가능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확장 한계: 1000만 행 초과 시 Pinecone/Weaviate 이관 고려 — 향후 작업으로 명시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Q13.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Next.js Server Actions vs API Routes 를 어떻게 구분해서 사용했는가?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Server Actions: 폼 제출, 단순 mutation. API Routes: 외부 호출 가능한 endpoint, GET 캐싱이 필요한 경우.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Server Actions 사용: /users CRUD, /alert-rules 저장, /suspects 추가 — 단방향 mutation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API Routes 사용: /api/uptime (외부 모니터링), /api/csp-report (브라우저 fetch), /api/ml/bench (proxy)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Type Safety: typedRoutes 활성화로 양쪽 모두 컴파일 타임 검증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Q14.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11개 테이블이 RLS 가 활성화되어 있다면, 어떻게 admin 이 모든 데이터에 접근하는가?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각 테이블의 RLS 정책에 ‘role = admin OR 자기 자신 row’ 형식의 USING 절을 적용한다.</w:t>
      </w:r>
    </w:p>
    <w:p>
      <w:pP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-- 예시: alerts 테이블의 SELECT 정책
CREATE POLICY "Admin can read all alerts" ON alerts
  FOR SELECT
  USING (current_user_role() = 'admin');
CREATE POLICY "Viewer can read non-sensitive alerts" ON alerts
  FOR SELECT
  USING (current_user_role() = 'viewer'
    AND screenshot_path IS NOT NULL);
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current_user_role() 함수는 SECURITY DEFINER — auth.users.role 을 읽되 자기 자신의 row 만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Service-role key 는 RLS 우회 가능 — 따라서 백엔드 서비스 코드만 사용, 클라이언트 노출 금지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Q15.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왜 Vercel + Supabase + Railway 의 3-cloud 분산 구조인가? 단일 클라우드로 통합하면?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관심사 분리(Separation of Concerns) 와 비용·성능 최적화의 결과이다.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Vercel: Edge runtime 으로 글로벌 latency 최소화 (sin1 region — 한국·동남아 &lt; 50ms)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Supabase: PostgreSQL + Auth + Storage + Edge Functions 통합 — DB 마이그레이션·RLS·realtime 일원화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Railway: Python ML 서비스 컨테이너 — Vercel 의 50MB function size 제한 우회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모든 리전 Singapore (ap-southeast-1 / asia-southeast1) — inter-cloud latency &lt; 5ms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비용: Hobby tier 조합 약 월 0–20달러, 학생 capstone 에 적합</w:t>
      </w:r>
    </w:p>
    <w:p>
      <w:pPr>
        <w:pStyle w:val="Heading1"/>
        <w:pageBreakBefore/>
        <w:spacing w:after="240" w:before="480"/>
      </w:pPr>
      <w:r>
        <w:rPr>
          <w:rFonts w:ascii="신명조" w:cs="신명조" w:eastAsia="신명조" w:hAnsi="신명조"/>
          <w:b/>
          <w:bCs/>
          <w:sz w:val="32"/>
          <w:szCs w:val="32"/>
        </w:rPr>
        <w:t xml:space="preserve">Ⅳ. 성능 및 운영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Q16.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카메라가 100대로 늘어나면 어떻게 확장하는가?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현재 구조의 병목점을 분석하고 단계적으로 해결한다.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병목점 1: Railway ML 인스턴스 1개 → 100대 동시 처리 시 큐잉. 해결: Railway autoscale + Redis 큐(Bull)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병목점 2: PostgreSQL 동시 INSERT. 해결: Supabase Pro Connection Pooler(PgBouncer) + COPY bulk insert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병목점 3: Supabase Storage 업로드 대역폭. 해결: 카메라 → Edge 영상 청크링 (HLS segment) + 백그라운드 업로드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최종 한계: pgvector ivfflat 인덱스가 1000만 임베딩 초과 시 검색 속도 저하 → Pinecone 이관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현재 측정: 단일 Railway 인스턴스에서 1080p × 30fps × 4 동시 카메라까지 안정 처리 확인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Q17.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실시간 알림 지연(end-to-end latency) 은 얼마인가?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RTSP 프레임 수신 → Telegram 알림 도착까지 측정 평균 1.8 초, 최대 3.2 초.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프레임 캡처 → ArcFace 임베딩: 65–112 ms (Railway p50–p99)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pgvector 매칭: 5–20 ms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alerts INSERT trigger → pg_notify → Edge Function: 50–200 ms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Edge Function → Telegram API: 800–1200 ms (Telegram 네트워크 의존)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Telegram 클라이언트 push 도착: 500–1800 ms</w:t>
      </w:r>
    </w:p>
    <w:p>
      <w:r>
        <w:rPr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신명조" w:cs="신명조" w:eastAsia="신명조" w:hAnsi="신명조"/>
          <w:sz w:val="22"/>
          <w:szCs w:val="22"/>
        </w:rPr>
        <w:t xml:space="preserve">운영적 관점: 1.8초는 ‘즉시 알림’ 기준에서 우수. 단, 군중 시나리오(10명 동시 알림) 에서 Telegram rate limit (30 msg/sec) 이 제약. burst smoothing 으로 완화.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Q18.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Vercel Hobby 의 4.5MB 업로드 제한은 어떻게 해결하나?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브라우저 업로드 경로와 RTSP 캡처 경로로 이원화.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브라우저 업로드: 4.5MB 이하 영상만 직접 업로드. 그 외는 ‘Live 페이지 → RTSP 직접 수신’ 안내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장기 해결: Vercel Pro 업그레이드 (100MB) 또는 Supabase Storage 클라이언트 직접 PUT (signed URL)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Async 처리: 4.5MB 이하라도 /process-upload 는 backgroundtask 로 즉시 ack 반환, 결과는 polling/realtime subscription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Q19.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Production 배포 후 무엇을 모니터링하나?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4계층 관측 스택을 운영한다.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Sentry: JavaScript/Server error, source map 업로드. Org=mongolz, Project=mongolz-next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Vercel Speed Insights: LCP, CLS, INP, FID — Web Vitals 자동 수집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Public uptime: GET /api/uptime → {ml: ms, db: ms, status} JSON. UptimeRobot 으로 1분 polling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Railway 로그: railway logs --tail 80 + Sentry 통합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CSP 위반: /api/csp-report 가 Sentry warning event 로 전달 → XSS 시도 즉시 감지</w:t>
      </w:r>
    </w:p>
    <w:p>
      <w:pPr>
        <w:pStyle w:val="Heading1"/>
        <w:pageBreakBefore/>
        <w:spacing w:after="240" w:before="480"/>
      </w:pPr>
      <w:r>
        <w:rPr>
          <w:rFonts w:ascii="신명조" w:cs="신명조" w:eastAsia="신명조" w:hAnsi="신명조"/>
          <w:b/>
          <w:bCs/>
          <w:sz w:val="32"/>
          <w:szCs w:val="32"/>
        </w:rPr>
        <w:t xml:space="preserve">Ⅴ. 법규 및 윤리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Q20.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한국 개인정보보호법(PIPA) 과 GDPR 를 어떻게 준수하는가?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두 법규 모두 ‘목적 명확성’, ‘최소 수집’, ‘안전한 저장’, ‘잊혀질 권리’ 네 가지 원칙을 요구하며, 본 시스템은 각각에 대해 기술적 대응을 갖춘다.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목적 명확성: suspects 테이블에 notes 필드 — 등록 사유 명시 의무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최소 수집: 일반 행인의 얼굴은 Voronoi 모자이크 처리 — ‘식별 가능 정보’ 가 아님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안전한 저장: AES-256-GCM + RLS — GDPR Art.32 ‘적절한 기술적 조치’ 충족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잊혀질 권리: suspects DELETE 시 관련 alerts/faces CASCADE 자동 삭제, audit_log 만 보존(법적 감사 의무)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PIPA §23 ‘민감정보 처리 금지’ 예외: 명시적 동의 (관리자 등록 인터페이스) + 법적 근거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Q21.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감시 시스템이 가지는 사회적·윤리적 우려를 어떻게 다루는가?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기술적 우려에 대응하는 4가지 설계 결정이 있다.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‘감시 효과(chilling effect)’ 완화: 일반 시민은 Voronoi 모자이크로 비식별화 → ‘추적되지 않는다’ 가 보장됨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권력 남용 방지: Hash-chain audit log → 운영자라도 사후 추적 가능. ‘누가 언제 누구를 재식별했는지’ 영구 기록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오인 식별 최소화: ALERT_THRESHOLD=0.45 + Active Learning F1-Optimal — 오인 신고를 학습 데이터로 활용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투명성: /audit 페이지에서 자신의 행위 로그를 누구나 조회 가능 (admin role 필요)</w:t>
      </w:r>
    </w:p>
    <w:p>
      <w:r>
        <w:rPr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신명조" w:cs="신명조" w:eastAsia="신명조" w:hAnsi="신명조"/>
          <w:i/>
          <w:iCs/>
          <w:sz w:val="22"/>
          <w:szCs w:val="22"/>
        </w:rPr>
        <w:t xml:space="preserve">정책적 한계: 본 시스템이 ‘올바르게 운영’ 됨을 강제할 수는 없음. 도구가 아닌 정책·법규의 영역. 따라서 본 논문은 ‘기술적으로 검증 가능한 안전장치’ 까지를 책임 범위로 한정.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Q22.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데이터 보존 기간은? 자동 삭제는?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기본 정책은 다음과 같다. 단, 한국·EU 의 분야별 규제(예: 금융기관 5년, 의료기관 10년) 에 따라 운영자가 조정 가능.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recordings (영상): 기본 30일 자동 삭제 (cron + Supabase 정책)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faces (얼굴 임베딩): 기본 90일 — 매칭 및 학습 데이터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alerts: 기본 1년 — 통계 및 사후 감사용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audit_log: 영구 보존 — 법적 책임 추적용 (immutable hash chain)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suspects: 운영자 명시적 삭제까지 보존</w:t>
      </w:r>
    </w:p>
    <w:p>
      <w:r>
        <w:rPr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신명조" w:cs="신명조" w:eastAsia="신명조" w:hAnsi="신명조"/>
          <w:sz w:val="22"/>
          <w:szCs w:val="22"/>
        </w:rPr>
        <w:t xml:space="preserve">운영자 UI에서 정책 조정 가능 — alert_rules 와 유사한 retention_rules 테이블 향후 추가 예정 (9.4장 향후 연구).</w:t>
      </w:r>
    </w:p>
    <w:p>
      <w:pPr>
        <w:pStyle w:val="Heading1"/>
        <w:pageBreakBefore/>
        <w:spacing w:after="240" w:before="480"/>
      </w:pPr>
      <w:r>
        <w:rPr>
          <w:rFonts w:ascii="신명조" w:cs="신명조" w:eastAsia="신명조" w:hAnsi="신명조"/>
          <w:b/>
          <w:bCs/>
          <w:sz w:val="32"/>
          <w:szCs w:val="32"/>
        </w:rPr>
        <w:t xml:space="preserve">Ⅵ. 기타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Q23.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기존 상용 솔루션(예: Hikvision, Verkada, Avigilon) 대비 본 시스템의 강점과 약점은?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강점은 ‘프라이버시 보존 + 감사 가능성’ 이고, 약점은 ‘하드웨어 통합 부재’ 이다.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강점 1: 일반 행인 자동 익명화 — Hikvision·Verkada 에는 없는 기능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강점 2: Hash-chain audit log — 사후 조작 차단. Verkada 사고(2021) 같은 사례 방지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강점 3: 오픈소스 스택 — Vendor lock-in 없음. 자체 호스팅 가능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강점 4: 가격 — 학생 capstone 으로 월 0–20달러 운영. Verkada 는 카메라당 $200/년+ 라이선스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약점 1: 자체 카메라 하드웨어 부재 — RTSP/HTTP 만 지원, PoE 카메라 직접 관리 불가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약점 2: SI(System Integrator) 생태계 부재 — 대형 사이트 설치 시 자체 운영팀 필요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약점 3: 인증/컴플라이언스 인증서 없음 — ISO 27001, SOC 2 등 미보유</w:t>
      </w:r>
    </w:p>
    <w:p>
      <w:r>
        <w:rPr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신명조" w:cs="신명조" w:eastAsia="신명조" w:hAnsi="신명조"/>
          <w:i/>
          <w:iCs/>
          <w:sz w:val="22"/>
          <w:szCs w:val="22"/>
        </w:rPr>
        <w:t xml:space="preserve">결론: 본 시스템은 ‘프라이버시·감사가 중요한 중소 규모 사이트’ 에 적합. 대규모 도시 단위 배치는 본 연구의 후속 작업 범위.</w:t>
      </w:r>
    </w:p>
    <w:p>
      <w:pPr>
        <w:pBdr>
          <w:left w:val="single" w:color="1F4E79" w:sz="24" w:space="8"/>
        </w:pBdr>
        <w:spacing w:after="80" w:before="280"/>
      </w:pPr>
      <w:r>
        <w:rPr>
          <w:rFonts w:ascii="신명조" w:cs="신명조" w:eastAsia="신명조" w:hAnsi="신명조"/>
          <w:b/>
          <w:bCs/>
          <w:color w:val="1F4E79"/>
          <w:sz w:val="22"/>
          <w:szCs w:val="22"/>
        </w:rPr>
        <w:t xml:space="preserve">Q24. </w:t>
      </w:r>
      <w:r>
        <w:rPr>
          <w:rFonts w:ascii="신명조" w:cs="신명조" w:eastAsia="신명조" w:hAnsi="신명조"/>
          <w:b/>
          <w:bCs/>
          <w:sz w:val="22"/>
          <w:szCs w:val="22"/>
        </w:rPr>
        <w:t xml:space="preserve">졸업 후 본 시스템을 어떻게 계속 발전시킬 계획인가?</w:t>
      </w:r>
    </w:p>
    <w:p>
      <w:pPr>
        <w:spacing w:after="80" w:line="360"/>
        <w:ind w:left="240"/>
      </w:pPr>
      <w:r>
        <w:rPr>
          <w:rFonts w:ascii="신명조" w:cs="신명조" w:eastAsia="신명조" w:hAnsi="신명조"/>
          <w:b/>
          <w:bCs/>
          <w:color w:val="C00000"/>
          <w:sz w:val="22"/>
          <w:szCs w:val="22"/>
        </w:rPr>
        <w:t xml:space="preserve">A. </w:t>
      </w:r>
      <w:r>
        <w:rPr>
          <w:rFonts w:ascii="신명조" w:cs="신명조" w:eastAsia="신명조" w:hAnsi="신명조"/>
          <w:sz w:val="22"/>
          <w:szCs w:val="22"/>
        </w:rPr>
        <w:t xml:space="preserve">세 가지 방향으로 진화 시킬 계획이다.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학술적: LPIPS·SSIM 정량 평가와 50명 사용자 평가를 추가하여 SCI 저널 투고 (대상 저널: ACM TOPS, IEEE TIFS)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오픈소스: GitHub 에 MIT 라이선스로 공개하여 커뮤니티 기여 수렴 — 특히 다국어 i18n(영어·아랍어·스페인어), 추가 RTSP 카메라 지원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신명조" w:cs="신명조" w:eastAsia="신명조" w:hAnsi="신명조"/>
          <w:sz w:val="22"/>
          <w:szCs w:val="22"/>
        </w:rPr>
        <w:t xml:space="preserve">산업화: 중소 규모 사이트(학교·병원·관공서) 시범 배치 — 한국정보화진흥원(NIA) 또는 KISA AI 보안 사업과 연계 가능성 탐색</w:t>
      </w:r>
    </w:p>
    <w:p>
      <w:r>
        <w:rPr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신명조" w:cs="신명조" w:eastAsia="신명조" w:hAnsi="신명조"/>
          <w:sz w:val="22"/>
          <w:szCs w:val="22"/>
        </w:rPr>
        <w:t xml:space="preserve">핵심 가치: ‘프라이버시 보존은 정책이 아닌 시스템 설계의 영역’ 이라는 입장을 산업·학계 모두에 입증하는 것.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1F4E79" w:sz="12" w:space="8"/>
        </w:pBdr>
        <w:spacing w:after="240" w:before="720"/>
        <w:jc w:val="center"/>
      </w:pPr>
      <w:r>
        <w:rPr>
          <w:rFonts w:ascii="신명조" w:cs="신명조" w:eastAsia="신명조" w:hAnsi="신명조"/>
          <w:b/>
          <w:bCs/>
          <w:color w:val="1F4E79"/>
          <w:sz w:val="28"/>
          <w:szCs w:val="28"/>
        </w:rPr>
        <w:t xml:space="preserve">감사합니다 / Thank you</w:t>
      </w:r>
    </w:p>
    <w:p>
      <w:pPr>
        <w:jc w:val="center"/>
      </w:pPr>
      <w:r>
        <w:rPr>
          <w:rFonts w:ascii="신명조" w:cs="신명조" w:eastAsia="신명조" w:hAnsi="신명조"/>
          <w:i/>
          <w:iCs/>
          <w:color w:val="808080"/>
          <w:sz w:val="18"/>
          <w:szCs w:val="18"/>
        </w:rPr>
        <w:t xml:space="preserve">MONGOLZ Security · 2026.05</w:t>
      </w:r>
    </w:p>
    <w:sectPr>
      <w:footerReference w:type="default" r:id="rId7"/>
      <w:pgSz w:w="11906" w:h="16838" w:orient="portrait"/>
      <w:pgMar w:top="1701" w:right="1418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신명조" w:cs="신명조" w:eastAsia="신명조" w:hAnsi="신명조"/>
        <w:sz w:val="20"/>
        <w:szCs w:val="20"/>
      </w:rPr>
      <w:t xml:space="preserve">- </w:t>
    </w:r>
    <w:r>
      <w:rPr>
        <w:rFonts w:ascii="신명조" w:cs="신명조" w:eastAsia="신명조" w:hAnsi="신명조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신명조" w:cs="신명조" w:eastAsia="신명조" w:hAnsi="신명조"/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신명조" w:cs="신명조" w:eastAsia="신명조" w:hAnsi="신명조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신명조" w:cs="신명조" w:eastAsia="신명조" w:hAnsi="신명조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신명조" w:cs="신명조" w:eastAsia="신명조" w:hAnsi="신명조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Q&amp;A — 졸업논문 심사 예상 질문</dc:title>
  <dc:creator>MONGOLZ Security Capstone</dc:creator>
  <dc:description>Defense Q&amp;A preparation</dc:description>
  <cp:lastModifiedBy>Un-named</cp:lastModifiedBy>
  <cp:revision>1</cp:revision>
  <dcterms:created xsi:type="dcterms:W3CDTF">2026-05-15T14:23:40.775Z</dcterms:created>
  <dcterms:modified xsi:type="dcterms:W3CDTF">2026-05-15T14:23:40.776Z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