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0"/>
        <w:gridCol w:w="2826"/>
        <w:gridCol w:w="2834"/>
        <w:gridCol w:w="1432"/>
      </w:tblGrid>
      <w:tr w14:paraId="5FC5D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839" w:type="pct"/>
          </w:tcPr>
          <w:p w14:paraId="6764CE5E">
            <w:pPr>
              <w:pStyle w:val="6"/>
              <w:rPr>
                <w:rFonts w:hint="default" w:ascii="Times New Roman" w:hAnsi="Times New Roman" w:cs="Times New Roman"/>
              </w:rPr>
            </w:pPr>
          </w:p>
        </w:tc>
        <w:tc>
          <w:tcPr>
            <w:tcW w:w="3321" w:type="pct"/>
            <w:gridSpan w:val="2"/>
          </w:tcPr>
          <w:p w14:paraId="214DDAD2">
            <w:pPr>
              <w:pStyle w:val="6"/>
              <w:jc w:val="center"/>
              <w:rPr>
                <w:rFonts w:hint="default" w:ascii="Times New Roman" w:hAnsi="Times New Roman" w:cs="Times New Roman"/>
                <w:sz w:val="24"/>
                <w:szCs w:val="24"/>
              </w:rPr>
            </w:pPr>
            <w:r>
              <w:rPr>
                <w:rFonts w:hint="default" w:ascii="Times New Roman" w:hAnsi="Times New Roman" w:cs="Times New Roman"/>
                <w:sz w:val="24"/>
                <w:szCs w:val="24"/>
              </w:rPr>
              <w:t>Kasdi Merbah Ouargla University</w:t>
            </w:r>
          </w:p>
          <w:p w14:paraId="42D068A1">
            <w:pPr>
              <w:pStyle w:val="6"/>
              <w:jc w:val="center"/>
              <w:rPr>
                <w:rFonts w:hint="default" w:ascii="Times New Roman" w:hAnsi="Times New Roman" w:cs="Times New Roman"/>
              </w:rPr>
            </w:pPr>
            <w:r>
              <w:rPr>
                <w:rFonts w:hint="default" w:ascii="Times New Roman" w:hAnsi="Times New Roman" w:cs="Times New Roman"/>
                <w:sz w:val="24"/>
                <w:szCs w:val="24"/>
              </w:rPr>
              <w:t>Faculty of New Technologies of Information and Telecommunication</w:t>
            </w:r>
          </w:p>
        </w:tc>
        <w:tc>
          <w:tcPr>
            <w:tcW w:w="840" w:type="pct"/>
          </w:tcPr>
          <w:p w14:paraId="504AC71F">
            <w:pPr>
              <w:pStyle w:val="6"/>
              <w:rPr>
                <w:rFonts w:hint="default" w:ascii="Times New Roman" w:hAnsi="Times New Roman" w:cs="Times New Roman"/>
              </w:rPr>
            </w:pPr>
          </w:p>
        </w:tc>
      </w:tr>
      <w:tr w14:paraId="09903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7" w:type="pct"/>
            <w:gridSpan w:val="2"/>
            <w:tcBorders>
              <w:bottom w:val="single" w:color="auto" w:sz="4" w:space="0"/>
            </w:tcBorders>
          </w:tcPr>
          <w:p w14:paraId="1BF046C9">
            <w:pPr>
              <w:spacing w:after="0" w:line="240" w:lineRule="auto"/>
              <w:rPr>
                <w:rFonts w:hint="default" w:ascii="Times New Roman" w:hAnsi="Times New Roman" w:cs="Times New Roman"/>
                <w:lang w:val="en-US"/>
              </w:rPr>
            </w:pPr>
          </w:p>
        </w:tc>
        <w:tc>
          <w:tcPr>
            <w:tcW w:w="2503" w:type="pct"/>
            <w:gridSpan w:val="2"/>
            <w:tcBorders>
              <w:bottom w:val="single" w:color="auto" w:sz="4" w:space="0"/>
            </w:tcBorders>
          </w:tcPr>
          <w:p w14:paraId="53734E50">
            <w:pPr>
              <w:spacing w:after="0" w:line="240" w:lineRule="auto"/>
              <w:rPr>
                <w:rFonts w:hint="default" w:ascii="Times New Roman" w:hAnsi="Times New Roman" w:cs="Times New Roman"/>
              </w:rPr>
            </w:pPr>
          </w:p>
        </w:tc>
      </w:tr>
    </w:tbl>
    <w:p w14:paraId="5653C977">
      <w:pPr>
        <w:pStyle w:val="10"/>
        <w:rPr>
          <w:rFonts w:hint="default" w:ascii="Times New Roman" w:hAnsi="Times New Roman" w:cs="Times New Roman"/>
          <w:lang w:val="en-US"/>
        </w:rPr>
      </w:pPr>
    </w:p>
    <w:p w14:paraId="0EF5D357">
      <w:pPr>
        <w:rPr>
          <w:rFonts w:hint="default" w:ascii="Times New Roman" w:hAnsi="Times New Roman" w:cs="Times New Roman"/>
          <w:lang w:val="en-US"/>
        </w:rPr>
      </w:pPr>
    </w:p>
    <w:p w14:paraId="6D5E3584">
      <w:pPr>
        <w:rPr>
          <w:rFonts w:hint="default" w:ascii="Times New Roman" w:hAnsi="Times New Roman" w:cs="Times New Roman"/>
          <w:lang w:val="en-US"/>
        </w:rPr>
      </w:pPr>
    </w:p>
    <w:p w14:paraId="47BED824">
      <w:pPr>
        <w:jc w:val="center"/>
        <w:rPr>
          <w:rFonts w:hint="default" w:ascii="Times New Roman" w:hAnsi="Times New Roman" w:cs="Times New Roman"/>
          <w:lang w:val="en-US"/>
        </w:rPr>
      </w:pPr>
      <w:r>
        <w:rPr>
          <w:rFonts w:hint="default" w:ascii="Times New Roman" w:hAnsi="Times New Roman" w:cs="Times New Roman"/>
        </w:rPr>
        <w:drawing>
          <wp:inline distT="0" distB="0" distL="0" distR="0">
            <wp:extent cx="975995" cy="942975"/>
            <wp:effectExtent l="0" t="0" r="14605" b="9525"/>
            <wp:docPr id="3" name="Image 14" descr="Université Kasdi Merbah Ouargla - Uncategor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4" descr="Université Kasdi Merbah Ouargla - Uncategoris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81589" cy="948153"/>
                    </a:xfrm>
                    <a:prstGeom prst="rect">
                      <a:avLst/>
                    </a:prstGeom>
                    <a:noFill/>
                    <a:ln>
                      <a:noFill/>
                    </a:ln>
                  </pic:spPr>
                </pic:pic>
              </a:graphicData>
            </a:graphic>
          </wp:inline>
        </w:drawing>
      </w:r>
    </w:p>
    <w:p w14:paraId="09C1369F">
      <w:pPr>
        <w:rPr>
          <w:rFonts w:hint="default" w:ascii="Times New Roman" w:hAnsi="Times New Roman" w:cs="Times New Roman"/>
          <w:lang w:val="en-US"/>
        </w:rPr>
      </w:pPr>
    </w:p>
    <w:p w14:paraId="7CF60FCF">
      <w:pPr>
        <w:rPr>
          <w:rFonts w:hint="default" w:ascii="Times New Roman" w:hAnsi="Times New Roman" w:cs="Times New Roman"/>
          <w:lang w:val="en-US"/>
        </w:rPr>
      </w:pPr>
    </w:p>
    <w:p w14:paraId="795961F5">
      <w:pPr>
        <w:rPr>
          <w:rFonts w:hint="default" w:ascii="Times New Roman" w:hAnsi="Times New Roman" w:cs="Times New Roman"/>
          <w:lang w:val="en-US"/>
        </w:rPr>
      </w:pPr>
    </w:p>
    <w:p w14:paraId="3F54D5D2">
      <w:pPr>
        <w:pStyle w:val="10"/>
        <w:jc w:val="center"/>
        <w:rPr>
          <w:rFonts w:hint="default" w:ascii="Times New Roman" w:hAnsi="Times New Roman" w:cs="Times New Roman"/>
          <w:sz w:val="56"/>
          <w:szCs w:val="56"/>
          <w:lang w:val="en-US"/>
        </w:rPr>
      </w:pPr>
      <w:r>
        <w:rPr>
          <w:rFonts w:hint="default" w:ascii="Times New Roman" w:hAnsi="Times New Roman" w:cs="Times New Roman"/>
          <w:b w:val="0"/>
          <w:bCs w:val="0"/>
          <w:lang w:val="en-US"/>
        </w:rPr>
        <w:t xml:space="preserve">Project Report: </w:t>
      </w:r>
      <w:r>
        <w:rPr>
          <w:rFonts w:hint="default" w:ascii="Times New Roman" w:hAnsi="Times New Roman" w:cs="Times New Roman"/>
          <w:b w:val="0"/>
          <w:bCs w:val="0"/>
          <w:sz w:val="56"/>
          <w:szCs w:val="56"/>
          <w:lang w:val="en-US"/>
        </w:rPr>
        <w:t xml:space="preserve"> </w:t>
      </w:r>
      <w:r>
        <w:rPr>
          <w:rFonts w:hint="default" w:ascii="Times New Roman" w:hAnsi="Times New Roman" w:cs="Times New Roman"/>
          <w:b w:val="0"/>
          <w:bCs w:val="0"/>
          <w:sz w:val="56"/>
          <w:szCs w:val="56"/>
        </w:rPr>
        <w:t>Diabetes Patient Classification and Clustering System</w:t>
      </w:r>
    </w:p>
    <w:p w14:paraId="50DE1112">
      <w:pPr>
        <w:rPr>
          <w:rFonts w:hint="default" w:ascii="Times New Roman" w:hAnsi="Times New Roman" w:cs="Times New Roman"/>
          <w:lang w:val="en-US"/>
        </w:rPr>
      </w:pPr>
    </w:p>
    <w:p w14:paraId="5DD37706">
      <w:pPr>
        <w:rPr>
          <w:rFonts w:hint="default" w:ascii="Times New Roman" w:hAnsi="Times New Roman" w:cs="Times New Roman"/>
          <w:lang w:val="en-US"/>
        </w:rPr>
      </w:pPr>
    </w:p>
    <w:p w14:paraId="79A81804">
      <w:pPr>
        <w:rPr>
          <w:rFonts w:hint="default" w:ascii="Times New Roman" w:hAnsi="Times New Roman" w:cs="Times New Roman"/>
          <w:lang w:val="en-US"/>
        </w:rPr>
      </w:pPr>
    </w:p>
    <w:p w14:paraId="6D6FA7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Presented by:</w:t>
      </w:r>
    </w:p>
    <w:p w14:paraId="6F6A4FE8">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Nidhal Khazene </w:t>
      </w:r>
    </w:p>
    <w:p w14:paraId="11D0596B">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Khaled Rahma</w:t>
      </w:r>
    </w:p>
    <w:p w14:paraId="6FABEE79">
      <w:pPr>
        <w:rPr>
          <w:rFonts w:hint="default" w:ascii="Times New Roman" w:hAnsi="Times New Roman" w:cs="Times New Roman"/>
          <w:sz w:val="24"/>
          <w:szCs w:val="24"/>
          <w:lang w:val="en-US"/>
        </w:rPr>
      </w:pPr>
    </w:p>
    <w:p w14:paraId="7688F0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part of the Machine Learning Module.</w:t>
      </w:r>
    </w:p>
    <w:p w14:paraId="416A6281">
      <w:pPr>
        <w:rPr>
          <w:rFonts w:hint="default" w:ascii="Times New Roman" w:hAnsi="Times New Roman" w:cs="Times New Roman"/>
          <w:sz w:val="24"/>
          <w:szCs w:val="24"/>
          <w:lang w:val="en-US"/>
        </w:rPr>
      </w:pPr>
    </w:p>
    <w:p w14:paraId="40542129">
      <w:pPr>
        <w:rPr>
          <w:rFonts w:hint="default" w:ascii="Times New Roman" w:hAnsi="Times New Roman" w:cs="Times New Roman"/>
          <w:sz w:val="24"/>
          <w:szCs w:val="24"/>
          <w:lang w:val="en-US"/>
        </w:rPr>
      </w:pPr>
    </w:p>
    <w:p w14:paraId="6E785B77">
      <w:pPr>
        <w:rPr>
          <w:rFonts w:hint="default" w:ascii="Times New Roman" w:hAnsi="Times New Roman" w:cs="Times New Roman"/>
          <w:sz w:val="24"/>
          <w:szCs w:val="24"/>
          <w:lang w:val="en-US"/>
        </w:rPr>
      </w:pPr>
    </w:p>
    <w:p w14:paraId="5D779794">
      <w:pPr>
        <w:rPr>
          <w:rFonts w:hint="default" w:ascii="Times New Roman" w:hAnsi="Times New Roman" w:cs="Times New Roman"/>
          <w:sz w:val="24"/>
          <w:szCs w:val="24"/>
          <w:lang w:val="en-US"/>
        </w:rPr>
      </w:pPr>
    </w:p>
    <w:p w14:paraId="68583EDF">
      <w:pPr>
        <w:rPr>
          <w:rFonts w:hint="default" w:ascii="Times New Roman" w:hAnsi="Times New Roman" w:cs="Times New Roman"/>
          <w:sz w:val="24"/>
          <w:szCs w:val="24"/>
          <w:lang w:val="en-US"/>
        </w:rPr>
      </w:pPr>
    </w:p>
    <w:p w14:paraId="0F9CA5FE">
      <w:pPr>
        <w:rPr>
          <w:rFonts w:hint="default" w:ascii="Times New Roman" w:hAnsi="Times New Roman" w:cs="Times New Roman"/>
          <w:sz w:val="24"/>
          <w:szCs w:val="24"/>
          <w:lang w:val="en-US"/>
        </w:rPr>
      </w:pPr>
    </w:p>
    <w:p w14:paraId="3EDF1EDC">
      <w:pPr>
        <w:pStyle w:val="2"/>
        <w:keepNext w:val="0"/>
        <w:keepLines w:val="0"/>
        <w:widowControl/>
        <w:suppressLineNumbers w:val="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Academic Year: 2025/2026</w:t>
      </w:r>
    </w:p>
    <w:p w14:paraId="0A31DF97">
      <w:pPr>
        <w:pStyle w:val="2"/>
        <w:keepNext w:val="0"/>
        <w:keepLines w:val="0"/>
        <w:widowControl/>
        <w:suppressLineNumbers w:val="0"/>
        <w:jc w:val="both"/>
        <w:rPr>
          <w:rFonts w:hint="default" w:ascii="Times New Roman" w:hAnsi="Times New Roman" w:cs="Times New Roman"/>
          <w:b w:val="0"/>
          <w:bCs w:val="0"/>
        </w:rPr>
      </w:pPr>
      <w:r>
        <w:rPr>
          <w:rStyle w:val="8"/>
          <w:rFonts w:hint="default" w:ascii="Times New Roman" w:hAnsi="Times New Roman" w:cs="Times New Roman"/>
          <w:b w:val="0"/>
          <w:bCs w:val="0"/>
        </w:rPr>
        <w:t>Data Processing</w:t>
      </w:r>
    </w:p>
    <w:p w14:paraId="52EAB87A">
      <w:pPr>
        <w:pStyle w:val="3"/>
        <w:keepNext w:val="0"/>
        <w:keepLines w:val="0"/>
        <w:widowControl/>
        <w:suppressLineNumbers w:val="0"/>
        <w:rPr>
          <w:rFonts w:hint="default" w:ascii="Times New Roman" w:hAnsi="Times New Roman" w:cs="Times New Roman"/>
          <w:b w:val="0"/>
          <w:bCs w:val="0"/>
        </w:rPr>
      </w:pPr>
      <w:r>
        <w:rPr>
          <w:rStyle w:val="8"/>
          <w:rFonts w:hint="default" w:ascii="Times New Roman" w:hAnsi="Times New Roman" w:cs="Times New Roman"/>
          <w:b w:val="0"/>
          <w:bCs w:val="0"/>
        </w:rPr>
        <w:t>1. Introduction</w:t>
      </w:r>
    </w:p>
    <w:p w14:paraId="6897D00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 processing phase aims to transform the raw BRFSS 2015 dataset into a clean and analysis-ready format. This step is essential to ensure reliable clustering results and accurate predictive modeling in later stages of the project.</w:t>
      </w:r>
    </w:p>
    <w:p w14:paraId="66EDF3EE">
      <w:pPr>
        <w:pStyle w:val="3"/>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2. Data Loading and Initial Inspection</w:t>
      </w:r>
    </w:p>
    <w:p w14:paraId="2E1D53D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was loaded from its raw CSV format and inspected to understand its structure, feature types, and overall size. Descriptive statistics and basic summaries were examined to verify data consistency</w:t>
      </w:r>
      <w:bookmarkStart w:id="0" w:name="_GoBack"/>
      <w:bookmarkEnd w:id="0"/>
      <w:r>
        <w:rPr>
          <w:rFonts w:hint="default" w:ascii="Times New Roman" w:hAnsi="Times New Roman" w:cs="Times New Roman"/>
        </w:rPr>
        <w:t xml:space="preserve"> and identify potential issues.</w:t>
      </w:r>
    </w:p>
    <w:p w14:paraId="7EF85E71">
      <w:pPr>
        <w:pStyle w:val="3"/>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3. Missing Values Analysis</w:t>
      </w:r>
    </w:p>
    <w:p w14:paraId="0C27693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comprehensive check for missing values was performed across all features. The analysis confirmed that the dataset does not contain missing values. Therefore, no imputation or record removal strategies were required, and this result was documented for methodological completeness.</w:t>
      </w:r>
    </w:p>
    <w:p w14:paraId="582937CD">
      <w:pPr>
        <w:pStyle w:val="3"/>
        <w:keepNext w:val="0"/>
        <w:keepLines w:val="0"/>
        <w:widowControl/>
        <w:numPr>
          <w:ilvl w:val="0"/>
          <w:numId w:val="1"/>
        </w:numPr>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Outlier Detection and Treatment</w:t>
      </w:r>
    </w:p>
    <w:p w14:paraId="2FF2EB7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Numerical variables such as Body Mass Index (BMI), Physical Health (PhysHlth), and Mental Health (MentHlth) contained extreme values. Outliers were handled using the Interquartile Range (IQR) method. Instead of deleting observations, values outside the acceptable range were capped to preserve data integrity, which is particularly important in medical datasets.</w:t>
      </w:r>
    </w:p>
    <w:p w14:paraId="172473D0">
      <w:pPr>
        <w:pStyle w:val="3"/>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5. Feature Selection</w:t>
      </w:r>
    </w:p>
    <w:p w14:paraId="663F5B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 selection was guided by medical relevance and project objectives. For the clustering phase, the selected variables were Age, BMI, High Blood Pressure, High Cholesterol, General Health, and Physical Health. The target variable Diabetes_012 was retained for subsequent supervised learning tasks.</w:t>
      </w:r>
    </w:p>
    <w:p w14:paraId="7D132962">
      <w:pPr>
        <w:pStyle w:val="3"/>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6. Feature Scaling</w:t>
      </w:r>
    </w:p>
    <w:p w14:paraId="35534E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 ensure fair distance computation in clustering algorithms, selected numerical features were standardized using the StandardScaler technique. This transformation prevents variables with larger scales from dominating the analysis.</w:t>
      </w:r>
    </w:p>
    <w:p w14:paraId="36D2652B">
      <w:pPr>
        <w:pStyle w:val="3"/>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7. Saving Processed Data</w:t>
      </w:r>
    </w:p>
    <w:p w14:paraId="3E5C6E4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processed dataset was saved in a dedicated directory, along with a separate file containing only the clustering features. This ensures reproducibility and smooth integration with the clustering and classification stages.</w:t>
      </w:r>
    </w:p>
    <w:p w14:paraId="046B935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D5626D"/>
    <w:multiLevelType w:val="singleLevel"/>
    <w:tmpl w:val="3DD5626D"/>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571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header"/>
    <w:basedOn w:val="1"/>
    <w:unhideWhenUsed/>
    <w:uiPriority w:val="99"/>
    <w:pPr>
      <w:tabs>
        <w:tab w:val="center" w:pos="4536"/>
        <w:tab w:val="right" w:pos="9072"/>
      </w:tabs>
      <w:spacing w:after="0" w:line="240" w:lineRule="auto"/>
      <w:jc w:val="both"/>
    </w:pPr>
    <w:rPr>
      <w:rFonts w:asciiTheme="majorBidi" w:hAnsiTheme="majorBidi" w:cstheme="majorBidi"/>
      <w:sz w:val="20"/>
      <w:szCs w:val="20"/>
      <w:lang w:val="en-U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next w:val="1"/>
    <w:qFormat/>
    <w:uiPriority w:val="10"/>
    <w:pPr>
      <w:spacing w:after="0" w:line="240" w:lineRule="auto"/>
      <w:contextualSpacing/>
    </w:pPr>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2025-12-24T07:29:51Z</dcterms:created>
  <dc:creator>nidhal-khzn</dc:creator>
  <cp:lastModifiedBy>nidhal-khzn</cp:lastModifiedBy>
  <dcterms:modified xsi:type="dcterms:W3CDTF">2025-12-24T07:40:47Z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3ACD6C56B037440C888417FE44EDC0B1_12</vt:lpwstr>
  </property>
</Properties>
</file>