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747" w:rsidRPr="00FD4791" w:rsidRDefault="00540747" w:rsidP="00AC6EAC">
      <w:pPr>
        <w:spacing w:after="0"/>
        <w:rPr>
          <w:rFonts w:ascii="Traditional Arabic" w:hAnsi="Traditional Arabic" w:cs="Traditional Arabic"/>
          <w:b/>
          <w:bCs/>
          <w:rtl/>
        </w:rPr>
      </w:pPr>
      <w:r w:rsidRPr="00FD4791">
        <w:rPr>
          <w:rFonts w:ascii="Traditional Arabic" w:hAnsi="Traditional Arabic" w:cs="Traditional Arabic"/>
          <w:b/>
          <w:bCs/>
          <w:rtl/>
        </w:rPr>
        <w:t>التاريخ : 18/06/1446ه</w:t>
      </w:r>
      <w:r w:rsidR="002D72F3" w:rsidRPr="00FD4791">
        <w:rPr>
          <w:rFonts w:ascii="Traditional Arabic" w:hAnsi="Traditional Arabic" w:cs="Traditional Arabic"/>
          <w:b/>
          <w:bCs/>
          <w:rtl/>
        </w:rPr>
        <w:t>ــ</w:t>
      </w:r>
    </w:p>
    <w:p w:rsidR="00C207F2" w:rsidRPr="00FD4791" w:rsidRDefault="005132DF" w:rsidP="00096634">
      <w:pPr>
        <w:spacing w:after="0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أصحاب الفضيلة رئيس وأعضاء </w:t>
      </w:r>
      <w:r w:rsidR="00540747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الدائرة الحقوقية الثالثة عشر بمحكمة الاستئناف بالرياض </w:t>
      </w:r>
      <w:r w:rsidR="00540747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="000C4C9F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="00540747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سلمهم الله</w:t>
      </w:r>
    </w:p>
    <w:p w:rsidR="00C207F2" w:rsidRPr="00FD4791" w:rsidRDefault="00C207F2" w:rsidP="00BD2111">
      <w:pPr>
        <w:spacing w:line="240" w:lineRule="auto"/>
        <w:rPr>
          <w:rFonts w:ascii="Traditional Arabic" w:hAnsi="Traditional Arabic" w:cs="Traditional Arabic"/>
          <w:sz w:val="28"/>
          <w:szCs w:val="28"/>
          <w:rtl/>
          <w:lang w:bidi="ar-EG"/>
        </w:rPr>
      </w:pPr>
      <w:r w:rsidRPr="00FD4791">
        <w:rPr>
          <w:rFonts w:ascii="Traditional Arabic" w:hAnsi="Traditional Arabic" w:cs="Traditional Arabic"/>
          <w:sz w:val="28"/>
          <w:szCs w:val="28"/>
          <w:rtl/>
          <w:lang w:bidi="ar-EG"/>
        </w:rPr>
        <w:t>السلام عليكم ورحمة الله وبركاته ،،،،،</w:t>
      </w:r>
    </w:p>
    <w:p w:rsidR="00310FC2" w:rsidRPr="00FD4791" w:rsidRDefault="00310FC2" w:rsidP="000015F2">
      <w:pPr>
        <w:spacing w:after="0" w:line="360" w:lineRule="auto"/>
        <w:ind w:hanging="1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بداية فإننا نتمسك بكافة </w:t>
      </w:r>
      <w:r w:rsidR="005F29CE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ما قدمناه سابقاً </w:t>
      </w:r>
      <w:r w:rsidR="00E91D1B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من دفوع </w:t>
      </w:r>
      <w:r w:rsidR="005F29CE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>بمحكمة أول درجة</w:t>
      </w:r>
      <w:r w:rsidR="00E91D1B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، 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ونضيف لها </w:t>
      </w:r>
      <w:r w:rsidR="000015F2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>الآتي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>:</w:t>
      </w:r>
    </w:p>
    <w:p w:rsidR="00FD4791" w:rsidRPr="00FD4791" w:rsidRDefault="00FD4791" w:rsidP="00FD4791">
      <w:pPr>
        <w:spacing w:after="0"/>
        <w:ind w:hanging="1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val="en-GB"/>
        </w:rPr>
        <w:t>أولاً: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 بشأن إقتباس المستأنف من جوابنا عبارات يدّعي انها تدل على العلم بالمبايعة بقولنا أن ذلك "ليس له محل في الدعوى نظراً لعدم سلامة وصحة البيع" 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val="en-GB"/>
        </w:rPr>
        <w:t xml:space="preserve">– </w:t>
      </w:r>
      <w:r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فنؤكد أن هذا الإدعاء عارٍ تمامًا عن الصحة، وليس فيما أقتبسه أي إشارة صريحة أو ضمنية على العلم بالمبايعة أو سوء النوايا مطلقاً - 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والمعنى المقصود هنا واضحٌ وضوحًا لا لبس فيه؛ بأنه إذا كان العقد غير صحيح ومخالف لأحكام النظام لجُملة من الأسباب منها</w:t>
      </w:r>
      <w:r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(أ-البطلان في حق القاصرين لعدم وجود إذن بيع من الحاكم بما يحقق الغبطة والمصلحة. ب-إنعدام ركن الرضا والقبول وعدم تمثيل جميع الورثة بدليل عدم إضافة ارقام الوكالات والأشخاص الموكلين وتم تأكيد ذلك جميعه بحضور الورثة بأنفسهم ونفي موافقتهم ورضاهم الاتفاق المعيب مع المستأنف. ج- عدم انعقاد البيع من الأساس لتعلقه على أمر محتمل غير مُتحقق وهو موافقة التمويل وكما أوضحنا أن ذلك لا يعد بيعاً مستقراً وفقاً للأحكام الشرعية والنظامية). </w:t>
      </w:r>
    </w:p>
    <w:p w:rsidR="000E64B3" w:rsidRPr="000E64B3" w:rsidRDefault="00FD4791" w:rsidP="0022119C">
      <w:pPr>
        <w:spacing w:after="0"/>
        <w:ind w:firstLine="283"/>
        <w:jc w:val="both"/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إذًا فلا محل للنقاش فيما دون ذلك والمعنى هنا واضح لا يحتمل التأويل بالنقيض، </w:t>
      </w:r>
      <w:r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كون الجملة المشار إليها لا ت</w:t>
      </w:r>
      <w:r w:rsidR="0022119C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ُ</w:t>
      </w:r>
      <w:r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فيد العلم بالمبايعة، بقدر ما تُفيد أن مسألة العلم ليست ذات أهمية في ضوء بحثنا للدعوى</w:t>
      </w:r>
      <w:r w:rsidR="000E64B3" w:rsidRPr="000E64B3">
        <w:rPr>
          <w:rFonts w:ascii="Traditional Arabic" w:hAnsi="Traditional Arabic" w:cs="Traditional Arabic" w:hint="cs"/>
          <w:sz w:val="28"/>
          <w:szCs w:val="28"/>
          <w:rtl/>
          <w:lang w:val="en-GB"/>
        </w:rPr>
        <w:t xml:space="preserve">، </w:t>
      </w:r>
      <w:r w:rsidR="0022119C">
        <w:rPr>
          <w:rFonts w:ascii="Traditional Arabic" w:hAnsi="Traditional Arabic" w:cs="Traditional Arabic" w:hint="cs"/>
          <w:sz w:val="28"/>
          <w:szCs w:val="28"/>
          <w:rtl/>
          <w:lang w:val="en-GB"/>
        </w:rPr>
        <w:t>و</w:t>
      </w:r>
      <w:bookmarkStart w:id="0" w:name="_GoBack"/>
      <w:bookmarkEnd w:id="0"/>
      <w:r w:rsidR="000E64B3" w:rsidRPr="000E64B3">
        <w:rPr>
          <w:rFonts w:ascii="Traditional Arabic" w:hAnsi="Traditional Arabic" w:cs="Traditional Arabic"/>
          <w:sz w:val="28"/>
          <w:szCs w:val="28"/>
          <w:rtl/>
          <w:lang w:val="en-GB"/>
        </w:rPr>
        <w:t>تأكدنا من عدم انعقاد البيع</w:t>
      </w:r>
      <w:r w:rsidR="000E64B3" w:rsidRPr="000E64B3">
        <w:rPr>
          <w:rFonts w:ascii="Traditional Arabic" w:hAnsi="Traditional Arabic" w:cs="Traditional Arabic" w:hint="cs"/>
          <w:sz w:val="28"/>
          <w:szCs w:val="28"/>
          <w:rtl/>
          <w:lang w:val="en-GB"/>
        </w:rPr>
        <w:t xml:space="preserve"> </w:t>
      </w:r>
      <w:r w:rsidRPr="000E64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–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 </w:t>
      </w:r>
      <w:r w:rsidRPr="000E64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ونشير هنا </w:t>
      </w:r>
      <w:r w:rsidR="000E64B3" w:rsidRPr="000E64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>أ</w:t>
      </w:r>
      <w:r w:rsidRPr="000E64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ن المستأنف اجتزأ النص من سياقه واجتهد في تأويله على غير حقيقته </w:t>
      </w:r>
      <w:r w:rsidR="000E64B3" w:rsidRPr="000E64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رغم وضوحه وصراحته التي لا تحتمل اللبس</w:t>
      </w:r>
      <w:r w:rsidR="000E64B3" w:rsidRPr="000E64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>،</w:t>
      </w:r>
      <w:r w:rsidR="000E64B3" w:rsidRPr="000E64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 وكان </w:t>
      </w:r>
      <w:r w:rsidR="000E64B3" w:rsidRPr="000E64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>أ</w:t>
      </w:r>
      <w:r w:rsidRPr="000E64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ولى به الالتزام بتقديم دليل واضح وفق توجيه فضيلتكم.</w:t>
      </w:r>
    </w:p>
    <w:p w:rsidR="0095424C" w:rsidRPr="00FD4791" w:rsidRDefault="00B057FC" w:rsidP="00E44A6F">
      <w:pPr>
        <w:spacing w:before="24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val="en-GB"/>
        </w:rPr>
        <w:t xml:space="preserve">ثانياً: </w:t>
      </w:r>
      <w:r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نضيف بأننا طوال جلسات المرافعة أمام محكمة أول درجة</w:t>
      </w:r>
      <w:r w:rsidR="005C05E2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="005C05E2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نؤكد على </w:t>
      </w:r>
      <w:r w:rsidR="005C05E2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دف</w:t>
      </w:r>
      <w:r w:rsidR="00565D32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عنا </w:t>
      </w:r>
      <w:r w:rsidR="00030CCC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بحسن </w:t>
      </w:r>
      <w:r w:rsidR="00EF5D33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النوايا المطلق لدى موكلي في إتمام المبيع </w:t>
      </w:r>
      <w:r w:rsidR="00EF5D33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وعدم </w:t>
      </w:r>
      <w:r w:rsidR="007D3D9A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العلم مسبقاً </w:t>
      </w:r>
      <w:r w:rsidR="00EF5D33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بوجود أي نزاعات على العقار </w:t>
      </w:r>
      <w:r w:rsidR="007D3D9A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 xml:space="preserve">وعلى آثر ذلك تم إتخاذ </w:t>
      </w:r>
      <w:r w:rsidR="00EF5D33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كافة الإجراءات الن</w:t>
      </w:r>
      <w:r w:rsidR="007D3D9A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ظامية اللازمة لنقل ملكية العقار</w:t>
      </w:r>
      <w:r w:rsidR="009371D5" w:rsidRPr="00FD47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بشكل سليم</w:t>
      </w:r>
      <w:r w:rsidR="00CC184F" w:rsidRPr="00FD4791">
        <w:rPr>
          <w:rFonts w:ascii="Traditional Arabic" w:hAnsi="Traditional Arabic" w:cs="Traditional Arabic"/>
          <w:sz w:val="28"/>
          <w:szCs w:val="28"/>
          <w:rtl/>
        </w:rPr>
        <w:t>، و</w:t>
      </w:r>
      <w:r w:rsidR="00283C77" w:rsidRPr="00FD4791">
        <w:rPr>
          <w:rFonts w:ascii="Traditional Arabic" w:hAnsi="Traditional Arabic" w:cs="Traditional Arabic"/>
          <w:sz w:val="28"/>
          <w:szCs w:val="28"/>
          <w:rtl/>
        </w:rPr>
        <w:t xml:space="preserve">أسسنا هذا الدفع على </w:t>
      </w:r>
      <w:r w:rsidR="00EF5D33" w:rsidRPr="00FD4791">
        <w:rPr>
          <w:rFonts w:ascii="Traditional Arabic" w:hAnsi="Traditional Arabic" w:cs="Traditional Arabic"/>
          <w:sz w:val="28"/>
          <w:szCs w:val="28"/>
          <w:rtl/>
        </w:rPr>
        <w:t xml:space="preserve">نص المادة (86) من نظام المعاملات المدنية </w:t>
      </w:r>
      <w:r w:rsidR="00283C77" w:rsidRPr="00FD4791">
        <w:rPr>
          <w:rFonts w:ascii="Traditional Arabic" w:hAnsi="Traditional Arabic" w:cs="Traditional Arabic"/>
          <w:sz w:val="28"/>
          <w:szCs w:val="28"/>
          <w:rtl/>
        </w:rPr>
        <w:t>ب</w:t>
      </w:r>
      <w:r w:rsidR="00EF5D33" w:rsidRPr="00FD4791">
        <w:rPr>
          <w:rFonts w:ascii="Traditional Arabic" w:hAnsi="Traditional Arabic" w:cs="Traditional Arabic"/>
          <w:sz w:val="28"/>
          <w:szCs w:val="28"/>
          <w:rtl/>
        </w:rPr>
        <w:t>أن</w:t>
      </w:r>
      <w:r w:rsidR="00FD4791">
        <w:rPr>
          <w:rFonts w:ascii="Traditional Arabic" w:hAnsi="Traditional Arabic" w:cs="Traditional Arabic" w:hint="cs"/>
          <w:sz w:val="28"/>
          <w:szCs w:val="28"/>
          <w:rtl/>
        </w:rPr>
        <w:t>ه</w:t>
      </w:r>
      <w:r w:rsidR="00EF5D33" w:rsidRPr="00FD4791">
        <w:rPr>
          <w:rFonts w:ascii="Traditional Arabic" w:hAnsi="Traditional Arabic" w:cs="Traditional Arabic"/>
          <w:sz w:val="28"/>
          <w:szCs w:val="28"/>
          <w:rtl/>
        </w:rPr>
        <w:t xml:space="preserve"> "لا يُحتج بإبطال العقد تجاه الخلف الخاص للمتعاقد إذا كس</w:t>
      </w:r>
      <w:r w:rsidR="005B511D" w:rsidRPr="00FD4791">
        <w:rPr>
          <w:rFonts w:ascii="Traditional Arabic" w:hAnsi="Traditional Arabic" w:cs="Traditional Arabic"/>
          <w:sz w:val="28"/>
          <w:szCs w:val="28"/>
          <w:rtl/>
        </w:rPr>
        <w:t>ب حقًّا عينيًّا معاوضة بحسن نية</w:t>
      </w:r>
      <w:r w:rsidR="00FD4791">
        <w:rPr>
          <w:rFonts w:ascii="Traditional Arabic" w:hAnsi="Traditional Arabic" w:cs="Traditional Arabic" w:hint="cs"/>
          <w:sz w:val="28"/>
          <w:szCs w:val="28"/>
          <w:rtl/>
        </w:rPr>
        <w:t>"</w:t>
      </w:r>
      <w:r w:rsidR="00EF5D33" w:rsidRPr="00FD4791">
        <w:rPr>
          <w:rFonts w:ascii="Traditional Arabic" w:hAnsi="Traditional Arabic" w:cs="Traditional Arabic"/>
          <w:sz w:val="28"/>
          <w:szCs w:val="28"/>
          <w:rtl/>
        </w:rPr>
        <w:t>، مما يعني أن حقوق موكلي المصونة بموجب هذا الصك لا يمكن الطعن فيها أو نقضها نظرًا لحسن نيته المطلقة في إتمام المبيع</w:t>
      </w:r>
      <w:r w:rsidR="0026607D" w:rsidRPr="00FD4791">
        <w:rPr>
          <w:rFonts w:ascii="Traditional Arabic" w:hAnsi="Traditional Arabic" w:cs="Traditional Arabic"/>
          <w:sz w:val="28"/>
          <w:szCs w:val="28"/>
          <w:rtl/>
        </w:rPr>
        <w:t>، وكل ذلك مثبت بصك الحكم الصاد</w:t>
      </w:r>
      <w:r w:rsidR="00903C15" w:rsidRPr="00FD4791">
        <w:rPr>
          <w:rFonts w:ascii="Traditional Arabic" w:hAnsi="Traditional Arabic" w:cs="Traditional Arabic"/>
          <w:sz w:val="28"/>
          <w:szCs w:val="28"/>
          <w:rtl/>
        </w:rPr>
        <w:t>ر</w:t>
      </w:r>
      <w:r w:rsidR="0026607D" w:rsidRPr="00FD4791">
        <w:rPr>
          <w:rFonts w:ascii="Traditional Arabic" w:hAnsi="Traditional Arabic" w:cs="Traditional Arabic"/>
          <w:sz w:val="28"/>
          <w:szCs w:val="28"/>
          <w:rtl/>
        </w:rPr>
        <w:t>، بالإضافة لثبوت عدم الملاءة المالية</w:t>
      </w:r>
      <w:r w:rsidR="007C04C8" w:rsidRPr="00FD4791">
        <w:rPr>
          <w:rFonts w:ascii="Traditional Arabic" w:hAnsi="Traditional Arabic" w:cs="Traditional Arabic"/>
          <w:sz w:val="28"/>
          <w:szCs w:val="28"/>
          <w:rtl/>
        </w:rPr>
        <w:t xml:space="preserve"> لدى المستأنف وإعتماده على تمويل </w:t>
      </w:r>
      <w:r w:rsidR="00E44A6F" w:rsidRPr="00FD4791">
        <w:rPr>
          <w:rFonts w:ascii="Traditional Arabic" w:hAnsi="Traditional Arabic" w:cs="Traditional Arabic"/>
          <w:sz w:val="28"/>
          <w:szCs w:val="28"/>
          <w:rtl/>
        </w:rPr>
        <w:t>مجهول و</w:t>
      </w:r>
      <w:r w:rsidR="007C04C8" w:rsidRPr="00FD4791">
        <w:rPr>
          <w:rFonts w:ascii="Traditional Arabic" w:hAnsi="Traditional Arabic" w:cs="Traditional Arabic"/>
          <w:sz w:val="28"/>
          <w:szCs w:val="28"/>
          <w:rtl/>
        </w:rPr>
        <w:t>محتمل من شركة خاصة</w:t>
      </w:r>
      <w:r w:rsidR="007D23FC" w:rsidRPr="00FD4791">
        <w:rPr>
          <w:rFonts w:ascii="Traditional Arabic" w:hAnsi="Traditional Arabic" w:cs="Traditional Arabic"/>
          <w:sz w:val="28"/>
          <w:szCs w:val="28"/>
          <w:rtl/>
        </w:rPr>
        <w:t xml:space="preserve"> – </w:t>
      </w:r>
      <w:r w:rsidR="00674C07" w:rsidRPr="00FD4791">
        <w:rPr>
          <w:rFonts w:ascii="Traditional Arabic" w:hAnsi="Traditional Arabic" w:cs="Traditional Arabic"/>
          <w:sz w:val="28"/>
          <w:szCs w:val="28"/>
          <w:rtl/>
        </w:rPr>
        <w:t xml:space="preserve">وما في ذلك من إهدار للحقوق وإستحالة موافقة المحكمة على البيع بهذه </w:t>
      </w:r>
      <w:r w:rsidR="00E44A6F" w:rsidRPr="00FD4791">
        <w:rPr>
          <w:rFonts w:ascii="Traditional Arabic" w:hAnsi="Traditional Arabic" w:cs="Traditional Arabic"/>
          <w:sz w:val="28"/>
          <w:szCs w:val="28"/>
          <w:rtl/>
        </w:rPr>
        <w:t>الجهالة والاحتمالية</w:t>
      </w:r>
      <w:r w:rsidR="00EF5D33" w:rsidRPr="00FD4791">
        <w:rPr>
          <w:rFonts w:ascii="Traditional Arabic" w:hAnsi="Traditional Arabic" w:cs="Traditional Arabic"/>
          <w:sz w:val="28"/>
          <w:szCs w:val="28"/>
        </w:rPr>
        <w:t>.</w:t>
      </w:r>
    </w:p>
    <w:p w:rsidR="004265E2" w:rsidRPr="00FD4791" w:rsidRDefault="00445B70" w:rsidP="00475DC3">
      <w:pPr>
        <w:spacing w:after="0"/>
        <w:jc w:val="both"/>
        <w:rPr>
          <w:rFonts w:ascii="Traditional Arabic" w:hAnsi="Traditional Arabic" w:cs="Traditional Arabic"/>
          <w:sz w:val="28"/>
          <w:szCs w:val="28"/>
          <w:rtl/>
          <w:lang w:val="en-GB"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val="en-GB"/>
        </w:rPr>
        <w:t>ثالثا</w:t>
      </w:r>
      <w:r w:rsidR="00FD4791">
        <w:rPr>
          <w:rFonts w:ascii="Traditional Arabic" w:hAnsi="Traditional Arabic" w:cs="Traditional Arabic" w:hint="cs"/>
          <w:b/>
          <w:bCs/>
          <w:sz w:val="28"/>
          <w:szCs w:val="28"/>
          <w:rtl/>
          <w:lang w:val="en-GB"/>
        </w:rPr>
        <w:t>ً</w:t>
      </w:r>
      <w:r w:rsidR="00EF5D33" w:rsidRPr="00FD4791">
        <w:rPr>
          <w:rFonts w:ascii="Traditional Arabic" w:hAnsi="Traditional Arabic" w:cs="Traditional Arabic"/>
          <w:b/>
          <w:bCs/>
          <w:sz w:val="28"/>
          <w:szCs w:val="28"/>
          <w:lang w:val="en-GB"/>
        </w:rPr>
        <w:t>:</w:t>
      </w:r>
      <w:r w:rsidR="008C3FFF"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val="en-GB"/>
        </w:rPr>
        <w:t xml:space="preserve"> 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نشير لما أكدناه سابقاً بمذكرتنا الختامية </w:t>
      </w:r>
      <w:r w:rsidR="00BF6C87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إستكمالاً لمبدأ </w:t>
      </w:r>
      <w:r w:rsidR="000B71EF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حسن نوايا موكلي</w:t>
      </w:r>
      <w:r w:rsidR="006232B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المطلق</w:t>
      </w:r>
      <w:r w:rsidR="000B71EF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="006232B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ب</w:t>
      </w:r>
      <w:r w:rsidR="00CB012F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إنفاق</w:t>
      </w:r>
      <w:r w:rsidR="006232B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ه</w:t>
      </w:r>
      <w:r w:rsidR="00CB012F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مبالغ باهظة على العقار في سبيل تطويره وإصلاحه بمبلغ قدره (18.300.000 </w:t>
      </w:r>
      <w:r w:rsidR="00C317C1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ريال) ثمانية عشر مليون وثلاثمائة ألف ريال </w:t>
      </w:r>
      <w:r w:rsidR="00DA77D0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–</w:t>
      </w:r>
      <w:r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</w:t>
      </w:r>
      <w:r w:rsidR="00C9403F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وأن الضرر لا يزال بضرر </w:t>
      </w:r>
      <w:r w:rsidR="000074D1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وتأسيس ذلك على </w:t>
      </w:r>
      <w:r w:rsidR="00990BC7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قاعدة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درء المفاسد مقدم على جلب المنافع – </w:t>
      </w:r>
      <w:r w:rsidR="006232B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وأكدنا أنه إذا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كان المدعي يقصد من دعواه جلب منفعة</w:t>
      </w:r>
      <w:r w:rsidR="00263CC2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وهي غير مشروعه </w:t>
      </w:r>
      <w:r w:rsidR="005316AE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بكل تأكيد </w:t>
      </w:r>
      <w:r w:rsidR="00263CC2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بسبب ما أصاب الاتفاق من بطلان ومخالفات للن</w:t>
      </w:r>
      <w:r w:rsidR="005316AE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ظام لعدة أوجه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فإن ذلك يكون على حساب مفسدة عظيمة على حساب موكلي وهو حسن النية كما سبق إيضاحه –</w:t>
      </w:r>
      <w:r w:rsidR="0012327A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مع الوضع بالاعتبار أن المبالغ المنفقة </w:t>
      </w:r>
      <w:r w:rsidR="006D466D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تزيد عن </w:t>
      </w:r>
      <w:r w:rsidR="00A368FF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ثلاث أضعاف قيمة الأرض 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– وفي ذلك إثراء بلا سبب </w:t>
      </w:r>
      <w:r w:rsidR="00C9403F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للمستأنف 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مقابل مفاسد عظيمة </w:t>
      </w:r>
      <w:r w:rsidR="00B42F80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لموكلي،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على الرغم من سلامة موقفة الشرعي والنظامي وإتخاذه السبل النظامية الصحيحة لإتمام الشراء بشكل سليم </w:t>
      </w:r>
      <w:r w:rsidR="00475DC3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عبر</w:t>
      </w:r>
      <w:r w:rsidR="00240EF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الجهات الرسمية 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– مع عدم قدرته على التحقق من وجود أي إتفاق</w:t>
      </w:r>
      <w:r w:rsidR="00240EF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ات أو نزاعات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مع الم</w:t>
      </w:r>
      <w:r w:rsidR="00A916F2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ستأنف </w:t>
      </w:r>
      <w:r w:rsidR="00DB03B4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بمبايعته </w:t>
      </w:r>
      <w:r w:rsidR="002A04D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المعيبة </w:t>
      </w:r>
      <w:r w:rsidR="00906D25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والباطلة </w:t>
      </w:r>
      <w:r w:rsidR="0095424C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كما سبق </w:t>
      </w:r>
      <w:r w:rsidR="00797C91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بيانه</w:t>
      </w:r>
      <w:r w:rsidR="004265E2" w:rsidRPr="00FD4791">
        <w:rPr>
          <w:rFonts w:ascii="Traditional Arabic" w:hAnsi="Traditional Arabic" w:cs="Traditional Arabic"/>
          <w:sz w:val="28"/>
          <w:szCs w:val="28"/>
          <w:rtl/>
          <w:lang w:val="en-GB"/>
        </w:rPr>
        <w:t>.</w:t>
      </w:r>
    </w:p>
    <w:p w:rsidR="00732286" w:rsidRPr="00FD4791" w:rsidRDefault="00A916F2" w:rsidP="00FD4791">
      <w:pPr>
        <w:spacing w:before="240" w:after="0" w:line="240" w:lineRule="auto"/>
        <w:ind w:hanging="27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>وعليه ولما تقدم فإننا نلتمس من فضيلتكم – سلمكم الله –</w:t>
      </w:r>
      <w:r w:rsidR="00797C91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الحكم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797C91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>ب</w:t>
      </w: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تأييد الحكم الصادر فيما آل إليه </w:t>
      </w:r>
      <w:r w:rsidR="002A48E6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برد </w:t>
      </w:r>
      <w:r w:rsidR="00797C91" w:rsidRPr="00FD4791">
        <w:rPr>
          <w:rFonts w:ascii="Traditional Arabic" w:hAnsi="Traditional Arabic" w:cs="Traditional Arabic"/>
          <w:b/>
          <w:bCs/>
          <w:sz w:val="28"/>
          <w:szCs w:val="28"/>
          <w:rtl/>
        </w:rPr>
        <w:t>الدعوى</w:t>
      </w:r>
      <w:r w:rsidR="00732286" w:rsidRPr="00FD4791">
        <w:rPr>
          <w:rFonts w:ascii="Traditional Arabic" w:hAnsi="Traditional Arabic" w:cs="Traditional Arabic"/>
          <w:b/>
          <w:bCs/>
          <w:sz w:val="28"/>
          <w:szCs w:val="28"/>
        </w:rPr>
        <w:t>.</w:t>
      </w:r>
    </w:p>
    <w:p w:rsidR="004265E2" w:rsidRPr="00FD4791" w:rsidRDefault="00FD4791" w:rsidP="00FD4791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EG"/>
        </w:rPr>
        <w:t xml:space="preserve">                         </w:t>
      </w:r>
      <w:r w:rsidR="004265E2"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>سدد الله</w:t>
      </w:r>
      <w:r w:rsidR="00584E74"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 xml:space="preserve"> على طريق الحق والعدل خطاكم ،،، والله ولي التوفيق </w:t>
      </w:r>
      <w:r w:rsidR="004265E2"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>،،،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EG"/>
        </w:rPr>
        <w:t xml:space="preserve">                                    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EG"/>
        </w:rPr>
        <w:t xml:space="preserve">  </w:t>
      </w:r>
      <w:r w:rsidR="004265E2"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>المحامية ،،،</w:t>
      </w:r>
    </w:p>
    <w:p w:rsidR="00732286" w:rsidRPr="00FD4791" w:rsidRDefault="004265E2" w:rsidP="00FD4791">
      <w:pPr>
        <w:ind w:right="142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EG"/>
        </w:rPr>
      </w:pPr>
      <w:r w:rsidRPr="00FD4791"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>جواهر الحارثي</w:t>
      </w:r>
    </w:p>
    <w:sectPr w:rsidR="00732286" w:rsidRPr="00FD4791" w:rsidSect="00FD4791">
      <w:footerReference w:type="default" r:id="rId7"/>
      <w:pgSz w:w="11906" w:h="16838"/>
      <w:pgMar w:top="990" w:right="566" w:bottom="568" w:left="567" w:header="708" w:footer="29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A93" w:rsidRDefault="005B3A93" w:rsidP="007A6AD1">
      <w:pPr>
        <w:spacing w:after="0" w:line="240" w:lineRule="auto"/>
      </w:pPr>
      <w:r>
        <w:separator/>
      </w:r>
    </w:p>
  </w:endnote>
  <w:endnote w:type="continuationSeparator" w:id="0">
    <w:p w:rsidR="005B3A93" w:rsidRDefault="005B3A93" w:rsidP="007A6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6F2" w:rsidRDefault="00A916F2" w:rsidP="00FD4791">
    <w:pPr>
      <w:pStyle w:val="Footer"/>
    </w:pPr>
  </w:p>
  <w:p w:rsidR="00A916F2" w:rsidRDefault="00A91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A93" w:rsidRDefault="005B3A93" w:rsidP="007A6AD1">
      <w:pPr>
        <w:spacing w:after="0" w:line="240" w:lineRule="auto"/>
      </w:pPr>
      <w:r>
        <w:separator/>
      </w:r>
    </w:p>
  </w:footnote>
  <w:footnote w:type="continuationSeparator" w:id="0">
    <w:p w:rsidR="005B3A93" w:rsidRDefault="005B3A93" w:rsidP="007A6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25729"/>
    <w:multiLevelType w:val="multilevel"/>
    <w:tmpl w:val="0936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F7460"/>
    <w:multiLevelType w:val="hybridMultilevel"/>
    <w:tmpl w:val="B43E5C44"/>
    <w:lvl w:ilvl="0" w:tplc="31064446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1D9B6CED"/>
    <w:multiLevelType w:val="multilevel"/>
    <w:tmpl w:val="129C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B47D0"/>
    <w:multiLevelType w:val="multilevel"/>
    <w:tmpl w:val="51C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232DF"/>
    <w:multiLevelType w:val="hybridMultilevel"/>
    <w:tmpl w:val="3372148C"/>
    <w:lvl w:ilvl="0" w:tplc="A7E69A36">
      <w:start w:val="1"/>
      <w:numFmt w:val="decimal"/>
      <w:lvlText w:val="%1-"/>
      <w:lvlJc w:val="left"/>
      <w:pPr>
        <w:ind w:left="359" w:hanging="360"/>
      </w:pPr>
      <w:rPr>
        <w:rFonts w:hint="default"/>
        <w:lang w:bidi="ar-SA"/>
      </w:rPr>
    </w:lvl>
    <w:lvl w:ilvl="1" w:tplc="08090019" w:tentative="1">
      <w:start w:val="1"/>
      <w:numFmt w:val="lowerLetter"/>
      <w:lvlText w:val="%2."/>
      <w:lvlJc w:val="left"/>
      <w:pPr>
        <w:ind w:left="1079" w:hanging="360"/>
      </w:pPr>
    </w:lvl>
    <w:lvl w:ilvl="2" w:tplc="0809001B" w:tentative="1">
      <w:start w:val="1"/>
      <w:numFmt w:val="lowerRoman"/>
      <w:lvlText w:val="%3."/>
      <w:lvlJc w:val="right"/>
      <w:pPr>
        <w:ind w:left="1799" w:hanging="180"/>
      </w:pPr>
    </w:lvl>
    <w:lvl w:ilvl="3" w:tplc="0809000F" w:tentative="1">
      <w:start w:val="1"/>
      <w:numFmt w:val="decimal"/>
      <w:lvlText w:val="%4."/>
      <w:lvlJc w:val="left"/>
      <w:pPr>
        <w:ind w:left="2519" w:hanging="360"/>
      </w:pPr>
    </w:lvl>
    <w:lvl w:ilvl="4" w:tplc="08090019" w:tentative="1">
      <w:start w:val="1"/>
      <w:numFmt w:val="lowerLetter"/>
      <w:lvlText w:val="%5."/>
      <w:lvlJc w:val="left"/>
      <w:pPr>
        <w:ind w:left="3239" w:hanging="360"/>
      </w:pPr>
    </w:lvl>
    <w:lvl w:ilvl="5" w:tplc="0809001B" w:tentative="1">
      <w:start w:val="1"/>
      <w:numFmt w:val="lowerRoman"/>
      <w:lvlText w:val="%6."/>
      <w:lvlJc w:val="right"/>
      <w:pPr>
        <w:ind w:left="3959" w:hanging="180"/>
      </w:pPr>
    </w:lvl>
    <w:lvl w:ilvl="6" w:tplc="0809000F" w:tentative="1">
      <w:start w:val="1"/>
      <w:numFmt w:val="decimal"/>
      <w:lvlText w:val="%7."/>
      <w:lvlJc w:val="left"/>
      <w:pPr>
        <w:ind w:left="4679" w:hanging="360"/>
      </w:pPr>
    </w:lvl>
    <w:lvl w:ilvl="7" w:tplc="08090019" w:tentative="1">
      <w:start w:val="1"/>
      <w:numFmt w:val="lowerLetter"/>
      <w:lvlText w:val="%8."/>
      <w:lvlJc w:val="left"/>
      <w:pPr>
        <w:ind w:left="5399" w:hanging="360"/>
      </w:pPr>
    </w:lvl>
    <w:lvl w:ilvl="8" w:tplc="0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2881212A"/>
    <w:multiLevelType w:val="multilevel"/>
    <w:tmpl w:val="E16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D35FC"/>
    <w:multiLevelType w:val="hybridMultilevel"/>
    <w:tmpl w:val="0366B508"/>
    <w:lvl w:ilvl="0" w:tplc="8E5CFCD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5CCB"/>
    <w:multiLevelType w:val="multilevel"/>
    <w:tmpl w:val="453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F2BE7"/>
    <w:multiLevelType w:val="hybridMultilevel"/>
    <w:tmpl w:val="17AEEF14"/>
    <w:lvl w:ilvl="0" w:tplc="6500474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20DA8"/>
    <w:multiLevelType w:val="multilevel"/>
    <w:tmpl w:val="14F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B41A7"/>
    <w:multiLevelType w:val="multilevel"/>
    <w:tmpl w:val="A804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66469"/>
    <w:multiLevelType w:val="multilevel"/>
    <w:tmpl w:val="7AEE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73887"/>
    <w:multiLevelType w:val="multilevel"/>
    <w:tmpl w:val="A88C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9"/>
  </w:num>
  <w:num w:numId="9">
    <w:abstractNumId w:val="10"/>
  </w:num>
  <w:num w:numId="10">
    <w:abstractNumId w:val="0"/>
  </w:num>
  <w:num w:numId="11">
    <w:abstractNumId w:val="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F2"/>
    <w:rsid w:val="000015F2"/>
    <w:rsid w:val="000074D1"/>
    <w:rsid w:val="0001294A"/>
    <w:rsid w:val="00027102"/>
    <w:rsid w:val="00030CCC"/>
    <w:rsid w:val="00034530"/>
    <w:rsid w:val="0004324E"/>
    <w:rsid w:val="00047FE7"/>
    <w:rsid w:val="00095ADA"/>
    <w:rsid w:val="00096634"/>
    <w:rsid w:val="000B71EF"/>
    <w:rsid w:val="000C4C9F"/>
    <w:rsid w:val="000D64EE"/>
    <w:rsid w:val="000E64B3"/>
    <w:rsid w:val="000F28CB"/>
    <w:rsid w:val="000F5E59"/>
    <w:rsid w:val="0012327A"/>
    <w:rsid w:val="00136308"/>
    <w:rsid w:val="00153412"/>
    <w:rsid w:val="00153B9B"/>
    <w:rsid w:val="001643B8"/>
    <w:rsid w:val="00167F60"/>
    <w:rsid w:val="00193E71"/>
    <w:rsid w:val="00194606"/>
    <w:rsid w:val="0022119C"/>
    <w:rsid w:val="00240EFC"/>
    <w:rsid w:val="00263CC2"/>
    <w:rsid w:val="0026607D"/>
    <w:rsid w:val="00283C77"/>
    <w:rsid w:val="002A04DC"/>
    <w:rsid w:val="002A48E6"/>
    <w:rsid w:val="002B0431"/>
    <w:rsid w:val="002D72F3"/>
    <w:rsid w:val="002E4E7B"/>
    <w:rsid w:val="002F123F"/>
    <w:rsid w:val="00310FC2"/>
    <w:rsid w:val="00350FED"/>
    <w:rsid w:val="00356398"/>
    <w:rsid w:val="003609E8"/>
    <w:rsid w:val="00360DB6"/>
    <w:rsid w:val="003A2D6D"/>
    <w:rsid w:val="004265E2"/>
    <w:rsid w:val="00445B70"/>
    <w:rsid w:val="00452261"/>
    <w:rsid w:val="0046718C"/>
    <w:rsid w:val="00475DC3"/>
    <w:rsid w:val="004849A3"/>
    <w:rsid w:val="00504380"/>
    <w:rsid w:val="005132DF"/>
    <w:rsid w:val="0051510A"/>
    <w:rsid w:val="005316AE"/>
    <w:rsid w:val="00540747"/>
    <w:rsid w:val="005472D1"/>
    <w:rsid w:val="00565D32"/>
    <w:rsid w:val="00584E74"/>
    <w:rsid w:val="00585FE7"/>
    <w:rsid w:val="005B3A93"/>
    <w:rsid w:val="005B511D"/>
    <w:rsid w:val="005C05E2"/>
    <w:rsid w:val="005F21FC"/>
    <w:rsid w:val="005F29CE"/>
    <w:rsid w:val="00613627"/>
    <w:rsid w:val="006232BC"/>
    <w:rsid w:val="00630366"/>
    <w:rsid w:val="00666DFA"/>
    <w:rsid w:val="00674C07"/>
    <w:rsid w:val="00691EAD"/>
    <w:rsid w:val="006B77BC"/>
    <w:rsid w:val="006D2EE9"/>
    <w:rsid w:val="006D466D"/>
    <w:rsid w:val="006D5F28"/>
    <w:rsid w:val="00703010"/>
    <w:rsid w:val="00732286"/>
    <w:rsid w:val="00746835"/>
    <w:rsid w:val="00781792"/>
    <w:rsid w:val="00797C91"/>
    <w:rsid w:val="007A6AD1"/>
    <w:rsid w:val="007C04C8"/>
    <w:rsid w:val="007C3491"/>
    <w:rsid w:val="007C7193"/>
    <w:rsid w:val="007D23FC"/>
    <w:rsid w:val="007D3D9A"/>
    <w:rsid w:val="007E1B68"/>
    <w:rsid w:val="00893B0A"/>
    <w:rsid w:val="008952A6"/>
    <w:rsid w:val="00897F94"/>
    <w:rsid w:val="008A7647"/>
    <w:rsid w:val="008C3FFF"/>
    <w:rsid w:val="008C4AFB"/>
    <w:rsid w:val="008D3208"/>
    <w:rsid w:val="008F643D"/>
    <w:rsid w:val="00903C15"/>
    <w:rsid w:val="00906D25"/>
    <w:rsid w:val="009371D5"/>
    <w:rsid w:val="00942CBF"/>
    <w:rsid w:val="0095424C"/>
    <w:rsid w:val="00990BC7"/>
    <w:rsid w:val="009E63DB"/>
    <w:rsid w:val="00A00847"/>
    <w:rsid w:val="00A368FF"/>
    <w:rsid w:val="00A66F0E"/>
    <w:rsid w:val="00A916F2"/>
    <w:rsid w:val="00A9419A"/>
    <w:rsid w:val="00AA36AE"/>
    <w:rsid w:val="00AC6EAC"/>
    <w:rsid w:val="00B057FC"/>
    <w:rsid w:val="00B42F80"/>
    <w:rsid w:val="00B4630A"/>
    <w:rsid w:val="00B50B7B"/>
    <w:rsid w:val="00B540F4"/>
    <w:rsid w:val="00B661AA"/>
    <w:rsid w:val="00B70824"/>
    <w:rsid w:val="00BC1345"/>
    <w:rsid w:val="00BC1484"/>
    <w:rsid w:val="00BD2111"/>
    <w:rsid w:val="00BF3340"/>
    <w:rsid w:val="00BF63C4"/>
    <w:rsid w:val="00BF6C87"/>
    <w:rsid w:val="00C15567"/>
    <w:rsid w:val="00C207F2"/>
    <w:rsid w:val="00C317C1"/>
    <w:rsid w:val="00C42C79"/>
    <w:rsid w:val="00C86876"/>
    <w:rsid w:val="00C9403F"/>
    <w:rsid w:val="00CB012F"/>
    <w:rsid w:val="00CC0580"/>
    <w:rsid w:val="00CC184F"/>
    <w:rsid w:val="00CF4CCB"/>
    <w:rsid w:val="00D0251A"/>
    <w:rsid w:val="00D2458B"/>
    <w:rsid w:val="00D66512"/>
    <w:rsid w:val="00DA3AB4"/>
    <w:rsid w:val="00DA77D0"/>
    <w:rsid w:val="00DB03B4"/>
    <w:rsid w:val="00E17491"/>
    <w:rsid w:val="00E17821"/>
    <w:rsid w:val="00E253B5"/>
    <w:rsid w:val="00E31230"/>
    <w:rsid w:val="00E409B0"/>
    <w:rsid w:val="00E44A6F"/>
    <w:rsid w:val="00E60D78"/>
    <w:rsid w:val="00E66296"/>
    <w:rsid w:val="00E8326F"/>
    <w:rsid w:val="00E857F6"/>
    <w:rsid w:val="00E91D1B"/>
    <w:rsid w:val="00EA1587"/>
    <w:rsid w:val="00EF5D33"/>
    <w:rsid w:val="00F13017"/>
    <w:rsid w:val="00F23490"/>
    <w:rsid w:val="00F25DCD"/>
    <w:rsid w:val="00F33913"/>
    <w:rsid w:val="00F94F2D"/>
    <w:rsid w:val="00FD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576D4EC"/>
  <w15:chartTrackingRefBased/>
  <w15:docId w15:val="{3190A1A0-F6F9-4D0C-8227-CCDFA527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2A6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E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123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AD1"/>
  </w:style>
  <w:style w:type="paragraph" w:styleId="Footer">
    <w:name w:val="footer"/>
    <w:basedOn w:val="Normal"/>
    <w:link w:val="FooterChar"/>
    <w:uiPriority w:val="99"/>
    <w:unhideWhenUsed/>
    <w:rsid w:val="007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5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8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2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69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2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6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1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8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4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1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2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7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22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0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3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1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2024-08-12T13:29:00Z</cp:lastPrinted>
  <dcterms:created xsi:type="dcterms:W3CDTF">2024-12-19T14:34:00Z</dcterms:created>
  <dcterms:modified xsi:type="dcterms:W3CDTF">2024-12-19T20:32:00Z</dcterms:modified>
</cp:coreProperties>
</file>