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FA0" w:rsidRPr="00DA26BF" w:rsidRDefault="00807FA0" w:rsidP="00807FA0">
      <w:pPr>
        <w:spacing w:after="0"/>
        <w:jc w:val="both"/>
        <w:rPr>
          <w:rFonts w:ascii="Traditional Arabic" w:eastAsia="Times New Roman" w:hAnsi="Traditional Arabic" w:cs="Traditional Arabic"/>
          <w:b/>
          <w:bCs/>
          <w:sz w:val="28"/>
          <w:szCs w:val="28"/>
          <w:rtl/>
        </w:rPr>
      </w:pPr>
      <w:r w:rsidRPr="00DA26BF">
        <w:rPr>
          <w:rFonts w:ascii="Traditional Arabic" w:eastAsia="Times New Roman" w:hAnsi="Traditional Arabic" w:cs="Traditional Arabic"/>
          <w:b/>
          <w:bCs/>
          <w:sz w:val="28"/>
          <w:szCs w:val="28"/>
          <w:rtl/>
        </w:rPr>
        <w:t>أصحاب الفضيلة رئيس وأعضاء الدائرة التجارية الرابعة عشر بالمحكمة التجارية بالرياض</w:t>
      </w:r>
      <w:r w:rsidRPr="00DA26BF">
        <w:rPr>
          <w:rFonts w:ascii="Traditional Arabic" w:eastAsia="Times New Roman" w:hAnsi="Traditional Arabic" w:cs="Traditional Arabic"/>
          <w:b/>
          <w:bCs/>
          <w:sz w:val="28"/>
          <w:szCs w:val="28"/>
          <w:rtl/>
        </w:rPr>
        <w:tab/>
      </w:r>
      <w:r w:rsidRPr="00DA26BF">
        <w:rPr>
          <w:rFonts w:ascii="Traditional Arabic" w:eastAsia="Times New Roman" w:hAnsi="Traditional Arabic" w:cs="Traditional Arabic"/>
          <w:b/>
          <w:bCs/>
          <w:sz w:val="28"/>
          <w:szCs w:val="28"/>
          <w:rtl/>
        </w:rPr>
        <w:tab/>
      </w:r>
      <w:r w:rsidRPr="00DA26BF">
        <w:rPr>
          <w:rFonts w:ascii="Traditional Arabic" w:eastAsia="Times New Roman" w:hAnsi="Traditional Arabic" w:cs="Traditional Arabic"/>
          <w:b/>
          <w:bCs/>
          <w:sz w:val="28"/>
          <w:szCs w:val="28"/>
          <w:rtl/>
        </w:rPr>
        <w:tab/>
        <w:t>(سلمهم الله)</w:t>
      </w:r>
    </w:p>
    <w:p w:rsidR="00807FA0" w:rsidRPr="00DA26BF" w:rsidRDefault="00807FA0" w:rsidP="00807FA0">
      <w:pPr>
        <w:spacing w:after="0"/>
        <w:jc w:val="both"/>
        <w:rPr>
          <w:rFonts w:ascii="Traditional Arabic" w:eastAsia="Times New Roman" w:hAnsi="Traditional Arabic" w:cs="Traditional Arabic"/>
          <w:b/>
          <w:bCs/>
          <w:sz w:val="28"/>
          <w:szCs w:val="28"/>
          <w:rtl/>
        </w:rPr>
      </w:pPr>
      <w:r w:rsidRPr="00DA26BF">
        <w:rPr>
          <w:rFonts w:ascii="Traditional Arabic" w:eastAsia="Times New Roman" w:hAnsi="Traditional Arabic" w:cs="Traditional Arabic"/>
          <w:b/>
          <w:bCs/>
          <w:sz w:val="28"/>
          <w:szCs w:val="28"/>
          <w:rtl/>
        </w:rPr>
        <w:t>السلام عليكم ورحمة الله وبركاته،،</w:t>
      </w:r>
    </w:p>
    <w:p w:rsidR="00F84A1B" w:rsidRPr="008A60B2" w:rsidRDefault="00807FA0" w:rsidP="008A60B2">
      <w:pPr>
        <w:spacing w:after="0"/>
        <w:jc w:val="both"/>
        <w:rPr>
          <w:rtl/>
        </w:rPr>
      </w:pPr>
      <w:r>
        <w:rPr>
          <w:rFonts w:ascii="Traditional Arabic" w:eastAsia="Times New Roman" w:hAnsi="Traditional Arabic" w:cs="Traditional Arabic"/>
          <w:b/>
          <w:bCs/>
          <w:sz w:val="28"/>
          <w:szCs w:val="28"/>
          <w:u w:val="single"/>
          <w:rtl/>
        </w:rPr>
        <w:t xml:space="preserve">الموضوع: </w:t>
      </w:r>
      <w:r w:rsidRPr="0060320A">
        <w:rPr>
          <w:rFonts w:ascii="Traditional Arabic" w:hAnsi="Traditional Arabic" w:cs="Traditional Arabic"/>
          <w:b/>
          <w:bCs/>
          <w:sz w:val="26"/>
          <w:szCs w:val="26"/>
          <w:u w:val="single"/>
          <w:rtl/>
        </w:rPr>
        <w:t xml:space="preserve">مذكرة </w:t>
      </w:r>
      <w:r w:rsidR="008A60B2">
        <w:rPr>
          <w:rFonts w:ascii="Traditional Arabic" w:hAnsi="Traditional Arabic" w:cs="Traditional Arabic" w:hint="cs"/>
          <w:b/>
          <w:bCs/>
          <w:sz w:val="26"/>
          <w:szCs w:val="26"/>
          <w:u w:val="single"/>
          <w:rtl/>
        </w:rPr>
        <w:t>ختامية</w:t>
      </w:r>
      <w:r>
        <w:rPr>
          <w:rFonts w:hint="cs"/>
          <w:rtl/>
        </w:rPr>
        <w:t>.</w:t>
      </w:r>
    </w:p>
    <w:p w:rsidR="00654AF3" w:rsidRPr="00654AF3" w:rsidRDefault="0036647E" w:rsidP="008A60B2">
      <w:pPr>
        <w:spacing w:after="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36647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أولًا: </w:t>
      </w:r>
      <w:r w:rsidR="008A60B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ندفع ب</w:t>
      </w:r>
      <w:r w:rsidR="008A60B2" w:rsidRPr="008A60B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بطلان وانعدام تقرير الخبير لتناقضه ا</w:t>
      </w:r>
      <w:r w:rsidR="008A60B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لصريح مع بعضه حينما أقر أن موكلتي سلّمت </w:t>
      </w:r>
      <w:r w:rsidRPr="008A60B2">
        <w:rPr>
          <w:rFonts w:ascii="Traditional Arabic" w:hAnsi="Traditional Arabic" w:cs="Traditional Arabic"/>
          <w:sz w:val="28"/>
          <w:szCs w:val="28"/>
          <w:rtl/>
        </w:rPr>
        <w:t>أعمال المرحلة الأولى</w:t>
      </w:r>
      <w:r w:rsidR="008A60B2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8A60B2">
        <w:rPr>
          <w:rFonts w:ascii="Traditional Arabic" w:hAnsi="Traditional Arabic" w:cs="Traditional Arabic"/>
          <w:sz w:val="28"/>
          <w:szCs w:val="28"/>
          <w:rtl/>
        </w:rPr>
        <w:t>(تصميم ونمذجة الموقع العام)</w:t>
      </w:r>
      <w:r w:rsidRPr="008A60B2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="008A60B2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 xml:space="preserve">ثم </w:t>
      </w:r>
      <w:r w:rsidRPr="008A60B2">
        <w:rPr>
          <w:rFonts w:ascii="Traditional Arabic" w:hAnsi="Traditional Arabic" w:cs="Traditional Arabic"/>
          <w:b/>
          <w:bCs/>
          <w:color w:val="FF0000"/>
          <w:sz w:val="28"/>
          <w:szCs w:val="28"/>
          <w:u w:val="single"/>
          <w:rtl/>
        </w:rPr>
        <w:t>ناقض هذا الإقرار</w:t>
      </w:r>
      <w:r w:rsidRPr="008A60B2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Pr="008A60B2">
        <w:rPr>
          <w:rFonts w:ascii="Traditional Arabic" w:hAnsi="Traditional Arabic" w:cs="Traditional Arabic"/>
          <w:sz w:val="28"/>
          <w:szCs w:val="28"/>
          <w:rtl/>
        </w:rPr>
        <w:t xml:space="preserve">حين قدّر نسبة إنجازها بـ(0%)، </w:t>
      </w:r>
      <w:r w:rsidR="008A60B2">
        <w:rPr>
          <w:rFonts w:ascii="Traditional Arabic" w:hAnsi="Traditional Arabic" w:cs="Traditional Arabic" w:hint="cs"/>
          <w:sz w:val="28"/>
          <w:szCs w:val="28"/>
          <w:rtl/>
        </w:rPr>
        <w:t xml:space="preserve">وهذا التناقض ظاهر ولا يدخل ضمن الأمور الفنية التي يتعذر على الدائرة الفصل فيها أو اكتشافها </w:t>
      </w:r>
      <w:r w:rsidR="008A60B2" w:rsidRPr="008A60B2">
        <w:rPr>
          <w:rFonts w:ascii="Traditional Arabic" w:hAnsi="Traditional Arabic" w:cs="Traditional Arabic"/>
          <w:sz w:val="28"/>
          <w:szCs w:val="28"/>
          <w:rtl/>
        </w:rPr>
        <w:t>بل هو خلل يدرك من ظاهر الأوراق</w:t>
      </w:r>
      <w:r w:rsidR="008A60B2">
        <w:rPr>
          <w:rFonts w:ascii="Traditional Arabic" w:hAnsi="Traditional Arabic" w:cs="Traditional Arabic" w:hint="cs"/>
          <w:sz w:val="28"/>
          <w:szCs w:val="28"/>
          <w:rtl/>
        </w:rPr>
        <w:t xml:space="preserve"> (</w:t>
      </w:r>
      <w:r w:rsidR="008A60B2">
        <w:rPr>
          <w:rFonts w:ascii="Traditional Arabic" w:hAnsi="Traditional Arabic" w:cs="Traditional Arabic" w:hint="cs"/>
          <w:sz w:val="28"/>
          <w:szCs w:val="28"/>
          <w:rtl/>
        </w:rPr>
        <w:t>مرفق</w:t>
      </w:r>
      <w:r w:rsidR="008A60B2">
        <w:rPr>
          <w:rFonts w:ascii="Traditional Arabic" w:hAnsi="Traditional Arabic" w:cs="Traditional Arabic" w:hint="cs"/>
          <w:sz w:val="28"/>
          <w:szCs w:val="28"/>
          <w:rtl/>
        </w:rPr>
        <w:t xml:space="preserve">1ما يفيد التناقض) </w:t>
      </w:r>
      <w:r w:rsidR="008A60B2">
        <w:rPr>
          <w:rFonts w:ascii="Traditional Arabic" w:hAnsi="Traditional Arabic" w:cs="Traditional Arabic"/>
          <w:sz w:val="28"/>
          <w:szCs w:val="28"/>
          <w:rtl/>
        </w:rPr>
        <w:t>–</w:t>
      </w:r>
      <w:r w:rsidR="008A60B2">
        <w:rPr>
          <w:rFonts w:ascii="Traditional Arabic" w:hAnsi="Traditional Arabic" w:cs="Traditional Arabic" w:hint="cs"/>
          <w:sz w:val="28"/>
          <w:szCs w:val="28"/>
          <w:rtl/>
        </w:rPr>
        <w:t xml:space="preserve"> وهذا التناقض ترتب عليه إهدار نسبة (35%) </w:t>
      </w:r>
      <w:r w:rsidR="008A60B2" w:rsidRPr="008A60B2">
        <w:rPr>
          <w:rFonts w:ascii="Traditional Arabic" w:hAnsi="Traditional Arabic" w:cs="Traditional Arabic"/>
          <w:sz w:val="28"/>
          <w:szCs w:val="28"/>
          <w:rtl/>
        </w:rPr>
        <w:t xml:space="preserve">من الأعمال المنجزة بالمخالفة للفقرة (4) من البند السادس (قيمة المشروع)، </w:t>
      </w:r>
      <w:r w:rsidR="008A60B2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8A60B2" w:rsidRPr="008A60B2">
        <w:rPr>
          <w:rFonts w:ascii="Traditional Arabic" w:hAnsi="Traditional Arabic" w:cs="Traditional Arabic"/>
          <w:sz w:val="28"/>
          <w:szCs w:val="28"/>
          <w:rtl/>
        </w:rPr>
        <w:t>بمقابل مالي مقداره (64,493.70 ريال)</w:t>
      </w:r>
      <w:r w:rsidR="008A60B2">
        <w:rPr>
          <w:rFonts w:ascii="Traditional Arabic" w:hAnsi="Traditional Arabic" w:cs="Traditional Arabic" w:hint="cs"/>
          <w:sz w:val="28"/>
          <w:szCs w:val="28"/>
          <w:rtl/>
        </w:rPr>
        <w:t xml:space="preserve"> - </w:t>
      </w:r>
      <w:r w:rsidR="00654AF3" w:rsidRPr="00654AF3">
        <w:rPr>
          <w:rFonts w:ascii="Traditional Arabic" w:hAnsi="Traditional Arabic" w:cs="Traditional Arabic"/>
          <w:sz w:val="28"/>
          <w:szCs w:val="28"/>
          <w:rtl/>
        </w:rPr>
        <w:t>فكيف يستقيم أن يقر الخبير بتسلّم هذه الأعمال، ثم يقدّر إنجازها بـ(0%)، وهي في أصل العقد محسوبة بنسبة (35%)؟!</w:t>
      </w:r>
    </w:p>
    <w:p w:rsidR="008A60B2" w:rsidRPr="008A60B2" w:rsidRDefault="008A60B2" w:rsidP="008A60B2">
      <w:pPr>
        <w:spacing w:before="240" w:after="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60B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ثانيًا</w:t>
      </w:r>
      <w:r w:rsidRPr="008A60B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: مخالفة التقرير لأحكام الشريعة الإسلامية والأنظمة المرعية، لمخالفته مبدأ منع ازدواج العقوبة على الفعل الواحد</w:t>
      </w:r>
      <w:r w:rsidRPr="008A60B2">
        <w:rPr>
          <w:rFonts w:ascii="Traditional Arabic" w:hAnsi="Traditional Arabic" w:cs="Traditional Arabic"/>
          <w:sz w:val="28"/>
          <w:szCs w:val="28"/>
          <w:rtl/>
        </w:rPr>
        <w:t xml:space="preserve">، إذ </w:t>
      </w:r>
      <w:r>
        <w:rPr>
          <w:rFonts w:ascii="Traditional Arabic" w:hAnsi="Traditional Arabic" w:cs="Traditional Arabic" w:hint="cs"/>
          <w:sz w:val="28"/>
          <w:szCs w:val="28"/>
          <w:rtl/>
        </w:rPr>
        <w:t>فرض</w:t>
      </w:r>
      <w:r w:rsidRPr="008A60B2">
        <w:rPr>
          <w:rFonts w:ascii="Traditional Arabic" w:hAnsi="Traditional Arabic" w:cs="Traditional Arabic"/>
          <w:sz w:val="28"/>
          <w:szCs w:val="28"/>
          <w:rtl/>
        </w:rPr>
        <w:t xml:space="preserve"> الخبير جزاءين ماليين على ذات الأعمال؛ </w:t>
      </w:r>
      <w:r w:rsidRPr="008A60B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أولهما</w:t>
      </w:r>
      <w:r w:rsidRPr="008A60B2">
        <w:rPr>
          <w:rFonts w:ascii="Traditional Arabic" w:hAnsi="Traditional Arabic" w:cs="Traditional Arabic"/>
          <w:sz w:val="28"/>
          <w:szCs w:val="28"/>
          <w:rtl/>
        </w:rPr>
        <w:t xml:space="preserve"> بتقديرها بقيمة </w:t>
      </w:r>
      <w:r>
        <w:rPr>
          <w:rFonts w:ascii="Traditional Arabic" w:hAnsi="Traditional Arabic" w:cs="Traditional Arabic" w:hint="cs"/>
          <w:sz w:val="28"/>
          <w:szCs w:val="28"/>
          <w:rtl/>
        </w:rPr>
        <w:t>أقل</w:t>
      </w:r>
      <w:r w:rsidRPr="008A60B2">
        <w:rPr>
          <w:rFonts w:ascii="Traditional Arabic" w:hAnsi="Traditional Arabic" w:cs="Traditional Arabic"/>
          <w:sz w:val="28"/>
          <w:szCs w:val="28"/>
          <w:rtl/>
        </w:rPr>
        <w:t xml:space="preserve"> من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قيمتها </w:t>
      </w:r>
      <w:r w:rsidRPr="008A60B2">
        <w:rPr>
          <w:rFonts w:ascii="Traditional Arabic" w:hAnsi="Traditional Arabic" w:cs="Traditional Arabic"/>
          <w:sz w:val="28"/>
          <w:szCs w:val="28"/>
          <w:rtl/>
        </w:rPr>
        <w:t xml:space="preserve">التعاقدية بحجة عدم استيفائها المتطلبات، </w:t>
      </w:r>
      <w:r w:rsidRPr="008A60B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وثانيهما</w:t>
      </w:r>
      <w:r w:rsidRPr="008A60B2">
        <w:rPr>
          <w:rFonts w:ascii="Traditional Arabic" w:hAnsi="Traditional Arabic" w:cs="Traditional Arabic"/>
          <w:sz w:val="28"/>
          <w:szCs w:val="28"/>
          <w:rtl/>
        </w:rPr>
        <w:t xml:space="preserve"> بفرض خصم إضافي بنسبة (10%) من قيمة العقد، بما يشكّل مخالفة صريحة للمبدأ الشرعي والنظامي المستقر على عدم الجمع بين عقوبتين عن ذات المخالفة.</w:t>
      </w:r>
    </w:p>
    <w:p w:rsidR="008A60B2" w:rsidRPr="008A60B2" w:rsidRDefault="008A60B2" w:rsidP="008A60B2">
      <w:pPr>
        <w:spacing w:before="24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8A60B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ثالثًا </w:t>
      </w:r>
      <w:r w:rsidRPr="008A60B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وجود خطأ في الحسبة المالية الواردة في تقرير الخبير، بما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يؤكد عدم</w:t>
      </w:r>
      <w:r w:rsidRPr="008A60B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دقة</w:t>
      </w:r>
      <w: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نتائجه ويستوجب إعادة النظر فيه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</w:t>
      </w:r>
      <w:r w:rsidRPr="008A60B2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.</w:t>
      </w:r>
    </w:p>
    <w:p w:rsidR="008A60B2" w:rsidRPr="008A60B2" w:rsidRDefault="008A60B2" w:rsidP="008A60B2">
      <w:pPr>
        <w:spacing w:after="0"/>
        <w:jc w:val="both"/>
        <w:rPr>
          <w:rFonts w:ascii="Traditional Arabic" w:hAnsi="Traditional Arabic" w:cs="Traditional Arabic"/>
          <w:sz w:val="28"/>
          <w:szCs w:val="28"/>
          <w:u w:val="single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رابعًا: </w:t>
      </w:r>
      <w:r w:rsidRPr="008A60B2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مخالفة تقرير الخبير لتقرير ال</w:t>
      </w:r>
      <w:r w:rsidR="003C6D9A" w:rsidRPr="008A60B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معاينة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الصادر عن </w:t>
      </w:r>
      <w:r w:rsidR="003C6D9A" w:rsidRPr="008A60B2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المحكمة التجارية بالدمام</w:t>
      </w:r>
      <w:r w:rsidR="003C6D9A" w:rsidRPr="008A60B2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؛ </w:t>
      </w:r>
      <w:r w:rsidRPr="008A60B2">
        <w:rPr>
          <w:rFonts w:ascii="Traditional Arabic" w:hAnsi="Traditional Arabic" w:cs="Traditional Arabic"/>
          <w:sz w:val="28"/>
          <w:szCs w:val="28"/>
          <w:rtl/>
        </w:rPr>
        <w:t>الذي انتهى إلى مطابقة الأعمال المنفذة للتصاميم المسلّمة، بينما قرر الخبير – خلافًا لذلك – عدم استيفائها المتطلبات، وهو تناقض جوهري يكشف قصور خبرته الفنية وعدم صلاحيته للفصل في مثل هذه المسائل، التي تستلزم خبيرًا مختصًا في طبيعة هذه الأعمال.</w:t>
      </w:r>
    </w:p>
    <w:p w:rsidR="007A2C37" w:rsidRDefault="007A2C37" w:rsidP="007A2C37">
      <w:pPr>
        <w:spacing w:before="240" w:after="0"/>
        <w:ind w:left="65"/>
        <w:jc w:val="center"/>
        <w:rPr>
          <w:rFonts w:ascii="Traditional Arabic" w:hAnsi="Traditional Arabic" w:cs="Traditional Arabic"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وعليه فإننا نلتمس من فضيلتكم سلمكم الله الحكم بعزل الخبير واسترداد أتعاب الخبرة وتعيين آخر.</w:t>
      </w:r>
    </w:p>
    <w:p w:rsidR="007A2C37" w:rsidRPr="007A2C37" w:rsidRDefault="007A2C37" w:rsidP="007A2C37">
      <w:pPr>
        <w:spacing w:before="240" w:after="0"/>
        <w:ind w:left="65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7A2C37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والله يحفظكم ويرعاكم،،</w:t>
      </w:r>
    </w:p>
    <w:p w:rsidR="007F7C55" w:rsidRDefault="007F7C55" w:rsidP="007F7C55">
      <w:pPr>
        <w:spacing w:before="240" w:after="0"/>
        <w:ind w:left="65"/>
        <w:jc w:val="both"/>
        <w:rPr>
          <w:rFonts w:ascii="Traditional Arabic" w:hAnsi="Traditional Arabic" w:cs="Traditional Arabic"/>
          <w:sz w:val="28"/>
          <w:szCs w:val="28"/>
          <w:rtl/>
        </w:rPr>
      </w:pPr>
    </w:p>
    <w:p w:rsidR="008A60B2" w:rsidRDefault="008A60B2" w:rsidP="007F7C55">
      <w:pPr>
        <w:spacing w:before="240" w:after="0"/>
        <w:ind w:left="65"/>
        <w:jc w:val="both"/>
        <w:rPr>
          <w:rFonts w:ascii="Traditional Arabic" w:hAnsi="Traditional Arabic" w:cs="Traditional Arabic"/>
          <w:sz w:val="28"/>
          <w:szCs w:val="28"/>
          <w:rtl/>
        </w:rPr>
      </w:pPr>
    </w:p>
    <w:p w:rsidR="008A60B2" w:rsidRDefault="008A60B2" w:rsidP="007F7C55">
      <w:pPr>
        <w:spacing w:before="240" w:after="0"/>
        <w:ind w:left="65"/>
        <w:jc w:val="both"/>
        <w:rPr>
          <w:rFonts w:ascii="Traditional Arabic" w:hAnsi="Traditional Arabic" w:cs="Traditional Arabic"/>
          <w:sz w:val="28"/>
          <w:szCs w:val="28"/>
          <w:rtl/>
        </w:rPr>
      </w:pPr>
    </w:p>
    <w:p w:rsidR="008A60B2" w:rsidRDefault="008A60B2" w:rsidP="007F7C55">
      <w:pPr>
        <w:spacing w:before="240" w:after="0"/>
        <w:ind w:left="65"/>
        <w:jc w:val="both"/>
        <w:rPr>
          <w:rFonts w:ascii="Traditional Arabic" w:hAnsi="Traditional Arabic" w:cs="Traditional Arabic"/>
          <w:sz w:val="28"/>
          <w:szCs w:val="28"/>
          <w:rtl/>
        </w:rPr>
      </w:pPr>
    </w:p>
    <w:p w:rsidR="008A60B2" w:rsidRDefault="008A60B2" w:rsidP="007F7C55">
      <w:pPr>
        <w:spacing w:before="240" w:after="0"/>
        <w:ind w:left="65"/>
        <w:jc w:val="both"/>
        <w:rPr>
          <w:rFonts w:ascii="Traditional Arabic" w:hAnsi="Traditional Arabic" w:cs="Traditional Arabic"/>
          <w:sz w:val="28"/>
          <w:szCs w:val="28"/>
          <w:rtl/>
        </w:rPr>
      </w:pPr>
    </w:p>
    <w:p w:rsidR="008A60B2" w:rsidRDefault="008A60B2" w:rsidP="007F7C55">
      <w:pPr>
        <w:spacing w:before="240" w:after="0"/>
        <w:ind w:left="65"/>
        <w:jc w:val="both"/>
        <w:rPr>
          <w:rFonts w:ascii="Traditional Arabic" w:hAnsi="Traditional Arabic" w:cs="Traditional Arabic"/>
          <w:sz w:val="28"/>
          <w:szCs w:val="28"/>
          <w:rtl/>
        </w:rPr>
      </w:pPr>
    </w:p>
    <w:p w:rsidR="008A60B2" w:rsidRDefault="008A60B2" w:rsidP="007F7C55">
      <w:pPr>
        <w:spacing w:before="240" w:after="0"/>
        <w:ind w:left="65"/>
        <w:jc w:val="both"/>
        <w:rPr>
          <w:rFonts w:ascii="Traditional Arabic" w:hAnsi="Traditional Arabic" w:cs="Traditional Arabic"/>
          <w:sz w:val="28"/>
          <w:szCs w:val="28"/>
          <w:rtl/>
        </w:rPr>
      </w:pPr>
    </w:p>
    <w:p w:rsidR="008A60B2" w:rsidRPr="008A60B2" w:rsidRDefault="008A60B2" w:rsidP="008A60B2">
      <w:pPr>
        <w:spacing w:before="240" w:after="0"/>
        <w:ind w:left="65"/>
        <w:jc w:val="center"/>
        <w:rPr>
          <w:rFonts w:ascii="Traditional Arabic" w:hAnsi="Traditional Arabic" w:cs="Traditional Arabic"/>
          <w:b/>
          <w:bCs/>
          <w:color w:val="FF0000"/>
          <w:sz w:val="28"/>
          <w:szCs w:val="28"/>
          <w:u w:val="single"/>
          <w:rtl/>
        </w:rPr>
      </w:pPr>
      <w:r w:rsidRPr="008A60B2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lastRenderedPageBreak/>
        <w:t>في الصفحة رقم (4) الخبير أقر أن الجزء (2) تم انجاز المرحلة الأولى من التصميم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:</w:t>
      </w:r>
      <w:bookmarkStart w:id="0" w:name="_GoBack"/>
      <w:bookmarkEnd w:id="0"/>
    </w:p>
    <w:p w:rsidR="008A60B2" w:rsidRPr="007F7C55" w:rsidRDefault="008A60B2" w:rsidP="007F7C55">
      <w:pPr>
        <w:spacing w:before="240" w:after="0"/>
        <w:ind w:left="65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60B2">
        <w:rPr>
          <w:rFonts w:ascii="Traditional Arabic" w:hAnsi="Traditional Arabic" w:cs="Traditional Arabic"/>
          <w:sz w:val="28"/>
          <w:szCs w:val="28"/>
          <w:rtl/>
        </w:rPr>
        <w:drawing>
          <wp:inline distT="0" distB="0" distL="0" distR="0" wp14:anchorId="5C416C89" wp14:editId="57E0B159">
            <wp:extent cx="6031230" cy="43357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1755" cy="433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8BE" w:rsidRPr="008A60B2" w:rsidRDefault="008A60B2" w:rsidP="008A60B2">
      <w:pPr>
        <w:tabs>
          <w:tab w:val="left" w:pos="3232"/>
        </w:tabs>
        <w:spacing w:after="0"/>
        <w:ind w:left="65"/>
        <w:jc w:val="center"/>
        <w:rPr>
          <w:rFonts w:ascii="Traditional Arabic" w:hAnsi="Traditional Arabic" w:cs="Traditional Arabic"/>
          <w:b/>
          <w:bCs/>
          <w:color w:val="FF0000"/>
          <w:sz w:val="28"/>
          <w:szCs w:val="28"/>
          <w:u w:val="single"/>
          <w:rtl/>
        </w:rPr>
      </w:pPr>
      <w:r w:rsidRPr="008A60B2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 xml:space="preserve">في الصفحة الـ(8) ناقض هذه الاقرار حينما قدر نسبتها بــ(صفر%) </w:t>
      </w:r>
      <w:r w:rsidRPr="008A60B2">
        <w:rPr>
          <w:rFonts w:ascii="Traditional Arabic" w:hAnsi="Traditional Arabic" w:cs="Traditional Arabic"/>
          <w:b/>
          <w:bCs/>
          <w:color w:val="FF0000"/>
          <w:sz w:val="28"/>
          <w:szCs w:val="28"/>
          <w:u w:val="single"/>
          <w:rtl/>
        </w:rPr>
        <w:t>–</w:t>
      </w:r>
      <w:r w:rsidRPr="008A60B2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 xml:space="preserve"> وهذا التناقض من المسائل النظامية وليست فنية:</w:t>
      </w:r>
    </w:p>
    <w:p w:rsidR="008A60B2" w:rsidRPr="008A60B2" w:rsidRDefault="008A60B2" w:rsidP="008A60B2">
      <w:pPr>
        <w:tabs>
          <w:tab w:val="left" w:pos="3232"/>
        </w:tabs>
        <w:spacing w:after="0"/>
        <w:ind w:left="65"/>
        <w:jc w:val="center"/>
        <w:rPr>
          <w:rFonts w:ascii="Traditional Arabic" w:hAnsi="Traditional Arabic" w:cs="Traditional Arabic"/>
          <w:b/>
          <w:bCs/>
          <w:sz w:val="28"/>
          <w:szCs w:val="28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</w:rPr>
        <w:drawing>
          <wp:inline distT="0" distB="0" distL="0" distR="0" wp14:anchorId="2236DA3E">
            <wp:extent cx="6614795" cy="4305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795" cy="430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A60B2" w:rsidRPr="008A60B2" w:rsidSect="00110663">
      <w:pgSz w:w="11906" w:h="16838"/>
      <w:pgMar w:top="851" w:right="849" w:bottom="851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951A6"/>
    <w:multiLevelType w:val="hybridMultilevel"/>
    <w:tmpl w:val="00B80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A1EC9"/>
    <w:multiLevelType w:val="hybridMultilevel"/>
    <w:tmpl w:val="B9384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8F60B8"/>
    <w:multiLevelType w:val="hybridMultilevel"/>
    <w:tmpl w:val="9EEEC072"/>
    <w:lvl w:ilvl="0" w:tplc="9220474C">
      <w:start w:val="1"/>
      <w:numFmt w:val="decimal"/>
      <w:lvlText w:val="%1."/>
      <w:lvlJc w:val="left"/>
      <w:pPr>
        <w:ind w:left="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5" w:hanging="360"/>
      </w:pPr>
    </w:lvl>
    <w:lvl w:ilvl="2" w:tplc="0409001B" w:tentative="1">
      <w:start w:val="1"/>
      <w:numFmt w:val="lowerRoman"/>
      <w:lvlText w:val="%3."/>
      <w:lvlJc w:val="right"/>
      <w:pPr>
        <w:ind w:left="1865" w:hanging="180"/>
      </w:pPr>
    </w:lvl>
    <w:lvl w:ilvl="3" w:tplc="0409000F" w:tentative="1">
      <w:start w:val="1"/>
      <w:numFmt w:val="decimal"/>
      <w:lvlText w:val="%4."/>
      <w:lvlJc w:val="left"/>
      <w:pPr>
        <w:ind w:left="2585" w:hanging="360"/>
      </w:pPr>
    </w:lvl>
    <w:lvl w:ilvl="4" w:tplc="04090019" w:tentative="1">
      <w:start w:val="1"/>
      <w:numFmt w:val="lowerLetter"/>
      <w:lvlText w:val="%5."/>
      <w:lvlJc w:val="left"/>
      <w:pPr>
        <w:ind w:left="3305" w:hanging="360"/>
      </w:pPr>
    </w:lvl>
    <w:lvl w:ilvl="5" w:tplc="0409001B" w:tentative="1">
      <w:start w:val="1"/>
      <w:numFmt w:val="lowerRoman"/>
      <w:lvlText w:val="%6."/>
      <w:lvlJc w:val="right"/>
      <w:pPr>
        <w:ind w:left="4025" w:hanging="180"/>
      </w:pPr>
    </w:lvl>
    <w:lvl w:ilvl="6" w:tplc="0409000F" w:tentative="1">
      <w:start w:val="1"/>
      <w:numFmt w:val="decimal"/>
      <w:lvlText w:val="%7."/>
      <w:lvlJc w:val="left"/>
      <w:pPr>
        <w:ind w:left="4745" w:hanging="360"/>
      </w:pPr>
    </w:lvl>
    <w:lvl w:ilvl="7" w:tplc="04090019" w:tentative="1">
      <w:start w:val="1"/>
      <w:numFmt w:val="lowerLetter"/>
      <w:lvlText w:val="%8."/>
      <w:lvlJc w:val="left"/>
      <w:pPr>
        <w:ind w:left="5465" w:hanging="360"/>
      </w:pPr>
    </w:lvl>
    <w:lvl w:ilvl="8" w:tplc="0409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3" w15:restartNumberingAfterBreak="0">
    <w:nsid w:val="71C1545D"/>
    <w:multiLevelType w:val="hybridMultilevel"/>
    <w:tmpl w:val="AE2C75EE"/>
    <w:lvl w:ilvl="0" w:tplc="9F5E4A3A">
      <w:start w:val="1"/>
      <w:numFmt w:val="decimal"/>
      <w:lvlText w:val="%1."/>
      <w:lvlJc w:val="left"/>
      <w:pPr>
        <w:ind w:left="42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145" w:hanging="360"/>
      </w:pPr>
    </w:lvl>
    <w:lvl w:ilvl="2" w:tplc="0409001B" w:tentative="1">
      <w:start w:val="1"/>
      <w:numFmt w:val="lowerRoman"/>
      <w:lvlText w:val="%3."/>
      <w:lvlJc w:val="right"/>
      <w:pPr>
        <w:ind w:left="1865" w:hanging="180"/>
      </w:pPr>
    </w:lvl>
    <w:lvl w:ilvl="3" w:tplc="0409000F" w:tentative="1">
      <w:start w:val="1"/>
      <w:numFmt w:val="decimal"/>
      <w:lvlText w:val="%4."/>
      <w:lvlJc w:val="left"/>
      <w:pPr>
        <w:ind w:left="2585" w:hanging="360"/>
      </w:pPr>
    </w:lvl>
    <w:lvl w:ilvl="4" w:tplc="04090019" w:tentative="1">
      <w:start w:val="1"/>
      <w:numFmt w:val="lowerLetter"/>
      <w:lvlText w:val="%5."/>
      <w:lvlJc w:val="left"/>
      <w:pPr>
        <w:ind w:left="3305" w:hanging="360"/>
      </w:pPr>
    </w:lvl>
    <w:lvl w:ilvl="5" w:tplc="0409001B" w:tentative="1">
      <w:start w:val="1"/>
      <w:numFmt w:val="lowerRoman"/>
      <w:lvlText w:val="%6."/>
      <w:lvlJc w:val="right"/>
      <w:pPr>
        <w:ind w:left="4025" w:hanging="180"/>
      </w:pPr>
    </w:lvl>
    <w:lvl w:ilvl="6" w:tplc="0409000F" w:tentative="1">
      <w:start w:val="1"/>
      <w:numFmt w:val="decimal"/>
      <w:lvlText w:val="%7."/>
      <w:lvlJc w:val="left"/>
      <w:pPr>
        <w:ind w:left="4745" w:hanging="360"/>
      </w:pPr>
    </w:lvl>
    <w:lvl w:ilvl="7" w:tplc="04090019" w:tentative="1">
      <w:start w:val="1"/>
      <w:numFmt w:val="lowerLetter"/>
      <w:lvlText w:val="%8."/>
      <w:lvlJc w:val="left"/>
      <w:pPr>
        <w:ind w:left="5465" w:hanging="360"/>
      </w:pPr>
    </w:lvl>
    <w:lvl w:ilvl="8" w:tplc="0409001B" w:tentative="1">
      <w:start w:val="1"/>
      <w:numFmt w:val="lowerRoman"/>
      <w:lvlText w:val="%9."/>
      <w:lvlJc w:val="right"/>
      <w:pPr>
        <w:ind w:left="6185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FA0"/>
    <w:rsid w:val="00110663"/>
    <w:rsid w:val="002635E6"/>
    <w:rsid w:val="00316125"/>
    <w:rsid w:val="0036647E"/>
    <w:rsid w:val="003C6D9A"/>
    <w:rsid w:val="0065308F"/>
    <w:rsid w:val="00654AF3"/>
    <w:rsid w:val="006C15F1"/>
    <w:rsid w:val="006C3703"/>
    <w:rsid w:val="006C4745"/>
    <w:rsid w:val="006C7827"/>
    <w:rsid w:val="007A2C37"/>
    <w:rsid w:val="007E18BE"/>
    <w:rsid w:val="007F7C55"/>
    <w:rsid w:val="00807FA0"/>
    <w:rsid w:val="00847FA5"/>
    <w:rsid w:val="008A60B2"/>
    <w:rsid w:val="008D3208"/>
    <w:rsid w:val="00B50B7B"/>
    <w:rsid w:val="00BA5086"/>
    <w:rsid w:val="00C5365E"/>
    <w:rsid w:val="00C72078"/>
    <w:rsid w:val="00DA51D6"/>
    <w:rsid w:val="00E56815"/>
    <w:rsid w:val="00F8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A58F8E"/>
  <w15:chartTrackingRefBased/>
  <w15:docId w15:val="{519E2C92-DFA9-45E5-978A-BF9F3AD6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7FA0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7FA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664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0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9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1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2025-07-01T09:12:00Z</cp:lastPrinted>
  <dcterms:created xsi:type="dcterms:W3CDTF">2025-06-26T05:21:00Z</dcterms:created>
  <dcterms:modified xsi:type="dcterms:W3CDTF">2025-07-08T13:27:00Z</dcterms:modified>
</cp:coreProperties>
</file>