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9A6" w:rsidRDefault="004E69A6" w:rsidP="004E69A6">
      <w:pPr>
        <w:pStyle w:val="ListParagraph"/>
        <w:numPr>
          <w:ilvl w:val="0"/>
          <w:numId w:val="3"/>
        </w:numPr>
        <w:bidi/>
        <w:spacing w:before="240" w:line="360" w:lineRule="auto"/>
        <w:ind w:left="567" w:hanging="283"/>
        <w:jc w:val="both"/>
        <w:rPr>
          <w:sz w:val="28"/>
          <w:szCs w:val="28"/>
        </w:rPr>
      </w:pPr>
      <w:r w:rsidRPr="00863E45">
        <w:rPr>
          <w:rFonts w:hint="cs"/>
          <w:b/>
          <w:bCs/>
          <w:sz w:val="28"/>
          <w:szCs w:val="28"/>
          <w:u w:val="single"/>
          <w:rtl/>
        </w:rPr>
        <w:t>إنتفاء الركن المعنوي للجريمة (القصد الجنائي)</w:t>
      </w:r>
      <w:r>
        <w:rPr>
          <w:rFonts w:hint="cs"/>
          <w:sz w:val="28"/>
          <w:szCs w:val="28"/>
          <w:rtl/>
        </w:rPr>
        <w:t xml:space="preserve"> .</w:t>
      </w:r>
    </w:p>
    <w:p w:rsidR="004E69A6" w:rsidRDefault="004E69A6" w:rsidP="004E69A6">
      <w:pPr>
        <w:pStyle w:val="ListParagraph"/>
        <w:bidi/>
        <w:spacing w:before="240" w:line="360" w:lineRule="auto"/>
        <w:ind w:left="567"/>
        <w:jc w:val="both"/>
        <w:rPr>
          <w:sz w:val="28"/>
          <w:szCs w:val="28"/>
          <w:rtl/>
        </w:rPr>
      </w:pPr>
      <w:r w:rsidRPr="00BE6475">
        <w:rPr>
          <w:rFonts w:hint="cs"/>
          <w:b/>
          <w:bCs/>
          <w:sz w:val="28"/>
          <w:szCs w:val="28"/>
          <w:rtl/>
        </w:rPr>
        <w:t>فكما تعلمون فضيلتكم</w:t>
      </w:r>
      <w:r w:rsidRPr="00E1364D">
        <w:rPr>
          <w:rFonts w:hint="cs"/>
          <w:b/>
          <w:bCs/>
          <w:sz w:val="28"/>
          <w:szCs w:val="28"/>
          <w:rtl/>
        </w:rPr>
        <w:t xml:space="preserve"> </w:t>
      </w:r>
      <w:r w:rsidRPr="00863E45">
        <w:rPr>
          <w:rFonts w:hint="cs"/>
          <w:b/>
          <w:bCs/>
          <w:sz w:val="28"/>
          <w:szCs w:val="28"/>
          <w:rtl/>
        </w:rPr>
        <w:t xml:space="preserve">أن القاعدة العامة أن الجريمة تقوم على ركنين أساسيين </w:t>
      </w:r>
      <w:r>
        <w:rPr>
          <w:rFonts w:hint="cs"/>
          <w:b/>
          <w:bCs/>
          <w:sz w:val="28"/>
          <w:szCs w:val="28"/>
          <w:rtl/>
        </w:rPr>
        <w:t>.</w:t>
      </w:r>
      <w:r w:rsidRPr="00863E45">
        <w:rPr>
          <w:rFonts w:hint="cs"/>
          <w:b/>
          <w:bCs/>
          <w:sz w:val="28"/>
          <w:szCs w:val="28"/>
          <w:rtl/>
        </w:rPr>
        <w:t xml:space="preserve">، الأول مادي يتكون من السلوك المجرم ونتيجة ذلك السلوك والعلاقة السببية بينهما ، والثاني معنوي </w:t>
      </w:r>
      <w:r w:rsidRPr="00E1364D">
        <w:rPr>
          <w:rFonts w:hint="cs"/>
          <w:b/>
          <w:bCs/>
          <w:sz w:val="28"/>
          <w:szCs w:val="28"/>
          <w:highlight w:val="yellow"/>
          <w:u w:val="single"/>
          <w:rtl/>
        </w:rPr>
        <w:t>ويتمثل في القصد الجنائي وهو إتجاه إرادة الجاني إلى تحقيق النتيجة الإجرامية مع علمه بأن ما هو مقدم عليه يوقعه في الإثم الجنائي</w:t>
      </w:r>
      <w:r>
        <w:rPr>
          <w:rFonts w:hint="cs"/>
          <w:b/>
          <w:bCs/>
          <w:sz w:val="28"/>
          <w:szCs w:val="28"/>
          <w:u w:val="single"/>
          <w:rtl/>
        </w:rPr>
        <w:t xml:space="preserve"> </w:t>
      </w:r>
      <w:r>
        <w:rPr>
          <w:b/>
          <w:bCs/>
          <w:sz w:val="28"/>
          <w:szCs w:val="28"/>
          <w:u w:val="single"/>
          <w:rtl/>
        </w:rPr>
        <w:t>–</w:t>
      </w:r>
      <w:r>
        <w:rPr>
          <w:rFonts w:hint="cs"/>
          <w:b/>
          <w:bCs/>
          <w:sz w:val="28"/>
          <w:szCs w:val="28"/>
          <w:u w:val="single"/>
          <w:rtl/>
        </w:rPr>
        <w:t xml:space="preserve"> </w:t>
      </w:r>
      <w:r>
        <w:rPr>
          <w:rFonts w:hint="cs"/>
          <w:sz w:val="28"/>
          <w:szCs w:val="28"/>
          <w:rtl/>
        </w:rPr>
        <w:t xml:space="preserve">فقد </w:t>
      </w:r>
      <w:r w:rsidRPr="00BE6475">
        <w:rPr>
          <w:rFonts w:hint="cs"/>
          <w:sz w:val="28"/>
          <w:szCs w:val="28"/>
          <w:rtl/>
        </w:rPr>
        <w:t xml:space="preserve">أشترط المشرع لإعتبار أن هناك جريمة يعاقب فاعلها </w:t>
      </w:r>
      <w:r w:rsidRPr="00BE6475">
        <w:rPr>
          <w:rFonts w:hint="cs"/>
          <w:b/>
          <w:bCs/>
          <w:sz w:val="28"/>
          <w:szCs w:val="28"/>
          <w:highlight w:val="yellow"/>
          <w:u w:val="single"/>
          <w:rtl/>
        </w:rPr>
        <w:t>توافر نية القصد الجنائي</w:t>
      </w:r>
      <w:r>
        <w:rPr>
          <w:rFonts w:hint="cs"/>
          <w:sz w:val="28"/>
          <w:szCs w:val="28"/>
          <w:rtl/>
        </w:rPr>
        <w:t xml:space="preserve"> وهذا ما لم يتوفر في دعواي</w:t>
      </w:r>
      <w:r w:rsidRPr="00BE6475">
        <w:rPr>
          <w:rFonts w:hint="cs"/>
          <w:sz w:val="28"/>
          <w:szCs w:val="28"/>
          <w:rtl/>
        </w:rPr>
        <w:t xml:space="preserve"> الماثلة أمام فضيلتكم </w:t>
      </w:r>
      <w:r>
        <w:rPr>
          <w:rFonts w:hint="cs"/>
          <w:sz w:val="28"/>
          <w:szCs w:val="28"/>
          <w:rtl/>
        </w:rPr>
        <w:t xml:space="preserve">حيث أنني لم تتجة إرادتي نحو إرتكاب جريمة أو مخالفة ودليل ذلك عدم علمي بالغرض الحقيقي التي أرسلت من أجله تلك الأموال كما هو ثابت بمحضر التحقيق المعد بهيئة التحقيق والإدعاء العام وكذا ما وضح فيه من إعترافات المتهم الثاني بعدم علمي بالغرض الحقيقي الذي أرسلت من أجله تلك الأموال كما أوضنا لفضيلتكم أعلاه </w:t>
      </w:r>
      <w:r w:rsidRPr="00BE6475">
        <w:rPr>
          <w:rFonts w:hint="cs"/>
          <w:sz w:val="28"/>
          <w:szCs w:val="28"/>
          <w:rtl/>
        </w:rPr>
        <w:t xml:space="preserve">.، مما ينتفي معه الركن المعنوي للجريمة .، وعليه فإننا نلتمس من فضيلتكم الحكم </w:t>
      </w:r>
      <w:r>
        <w:rPr>
          <w:rFonts w:hint="cs"/>
          <w:sz w:val="28"/>
          <w:szCs w:val="28"/>
          <w:rtl/>
        </w:rPr>
        <w:t>ببرائتي مما نسب لي من تهم بغير سند من القانون</w:t>
      </w:r>
      <w:r w:rsidRPr="00BE6475">
        <w:rPr>
          <w:rFonts w:hint="cs"/>
          <w:sz w:val="28"/>
          <w:szCs w:val="28"/>
          <w:rtl/>
        </w:rPr>
        <w:t xml:space="preserve"> .</w:t>
      </w:r>
    </w:p>
    <w:p w:rsidR="004E69A6" w:rsidRDefault="004E69A6" w:rsidP="00457F21">
      <w:pPr>
        <w:spacing w:before="240" w:after="0" w:line="360" w:lineRule="auto"/>
        <w:jc w:val="both"/>
        <w:rPr>
          <w:b/>
          <w:bCs/>
          <w:sz w:val="28"/>
          <w:szCs w:val="28"/>
          <w:u w:val="single"/>
          <w:rtl/>
        </w:rPr>
      </w:pPr>
      <w:bookmarkStart w:id="0" w:name="_GoBack"/>
      <w:bookmarkEnd w:id="0"/>
    </w:p>
    <w:p w:rsidR="00457F21" w:rsidRDefault="00457F21" w:rsidP="004E69A6">
      <w:pPr>
        <w:pStyle w:val="ListParagraph"/>
        <w:numPr>
          <w:ilvl w:val="0"/>
          <w:numId w:val="1"/>
        </w:numPr>
        <w:bidi/>
        <w:spacing w:before="240" w:after="0" w:line="360" w:lineRule="auto"/>
        <w:ind w:left="424" w:hanging="283"/>
        <w:jc w:val="both"/>
        <w:rPr>
          <w:b/>
          <w:bCs/>
          <w:sz w:val="28"/>
          <w:szCs w:val="28"/>
          <w:u w:val="single"/>
        </w:rPr>
      </w:pPr>
      <w:r>
        <w:rPr>
          <w:b/>
          <w:bCs/>
          <w:sz w:val="28"/>
          <w:szCs w:val="28"/>
          <w:u w:val="single"/>
          <w:rtl/>
        </w:rPr>
        <w:t>انتفاء الركن المادي والمعنوي للمخالفة وبالتالي عدم وقوع المخالفة من الأساس .</w:t>
      </w:r>
    </w:p>
    <w:p w:rsidR="00457F21" w:rsidRDefault="00457F21" w:rsidP="00457F21">
      <w:pPr>
        <w:spacing w:after="0" w:line="360" w:lineRule="auto"/>
        <w:ind w:left="425"/>
        <w:jc w:val="both"/>
        <w:rPr>
          <w:sz w:val="28"/>
          <w:szCs w:val="28"/>
          <w:rtl/>
        </w:rPr>
      </w:pPr>
      <w:r>
        <w:rPr>
          <w:sz w:val="28"/>
          <w:szCs w:val="28"/>
          <w:rtl/>
        </w:rPr>
        <w:t xml:space="preserve">فقد حرص المشرع على حفظ حق الإنسان في عدم توجيه اتهامات باطلة له دون مراعاة الضوابط التي تحكم الجريمة وتقننها حتى يمكن القول بأن هناك جريمة يعاقب فاعلها – فيلزم للقول بأن هناك جريمة أو مخالفة توافر عدة عناصر وكذلك ثبوت المخالفة بحق فاعلها حتى لا يتهم شخص بالباطل </w:t>
      </w:r>
      <w:r>
        <w:rPr>
          <w:b/>
          <w:bCs/>
          <w:sz w:val="28"/>
          <w:szCs w:val="28"/>
          <w:u w:val="single"/>
          <w:rtl/>
        </w:rPr>
        <w:t>– فالأحكام القضائية تبنى على الثبوت واليقين لا على الشك والتخمين – فعلى الرغم من عدم وجود دليل واضح وصريح يؤكد اتهام أعضاء الهيئة لي فنجد أن فضيلة القاضي ناظر الدعوى يصدر عقوبة ضدي دون دليل واضح ويقين قاطع لا يشوبه أدنى شك ضد إنسان بريء في تهمة لم يرتكبها ولا يوجد دليل عليها وإنما بني القرار على إدعاء يحتمل الشك واليقين (قد يكون صائب وقد يكون خاطيء) وما يحسم ذلك إنما هي البينة والدليل الواضح الدال عليها – أما وأنه لا توجد بينة واضحة إذن فليس هناك مخالفة تستحق العقاب</w:t>
      </w:r>
      <w:r>
        <w:rPr>
          <w:sz w:val="28"/>
          <w:szCs w:val="28"/>
          <w:rtl/>
        </w:rPr>
        <w:t xml:space="preserve"> – كما أنه بتطبيق عناصر الجريمة التي أوجب المشرع توافرها في أي مخالفة على دعواي الماثلة أمامكم وكذلك تطبيق اليقين اللازم توافره في المخالفة المنسوبة لي نجد ما يلي :- </w:t>
      </w:r>
    </w:p>
    <w:p w:rsidR="00457F21" w:rsidRDefault="00457F21" w:rsidP="00457F21">
      <w:pPr>
        <w:pStyle w:val="ListParagraph"/>
        <w:numPr>
          <w:ilvl w:val="0"/>
          <w:numId w:val="2"/>
        </w:numPr>
        <w:bidi/>
        <w:spacing w:line="360" w:lineRule="auto"/>
        <w:jc w:val="both"/>
        <w:rPr>
          <w:b/>
          <w:bCs/>
          <w:sz w:val="28"/>
          <w:szCs w:val="28"/>
          <w:highlight w:val="yellow"/>
          <w:u w:val="single"/>
          <w:rtl/>
        </w:rPr>
      </w:pPr>
      <w:r>
        <w:rPr>
          <w:sz w:val="28"/>
          <w:szCs w:val="28"/>
          <w:highlight w:val="yellow"/>
          <w:rtl/>
        </w:rPr>
        <w:lastRenderedPageBreak/>
        <w:t xml:space="preserve">بالنسبة للركن المادي للمخالفة المنسوبة لي – فلا يوجد ركن مادي ملموس يؤيد إتهام رجال الهيئة لي  فأين الركن المادي حتى تكون هناك مخالفة أعاقب عليها [إلا إذا اعتبر أن تسمية بلوتوث الهاتف برقمي أو أسمي أو غير ذلك – دون وجه نظامي وشرعي] – </w:t>
      </w:r>
      <w:r>
        <w:rPr>
          <w:b/>
          <w:bCs/>
          <w:sz w:val="28"/>
          <w:szCs w:val="28"/>
          <w:u w:val="single"/>
          <w:rtl/>
        </w:rPr>
        <w:t xml:space="preserve">فضيلة القاضي إذا كان القانون أوجب عقاب مرتكب الفعل الآثم إلا أنه قد كفل له أيضا ضرورة اليقين الكامل من ارتكابه لهذا الفعل المؤثم </w:t>
      </w:r>
      <w:r>
        <w:rPr>
          <w:sz w:val="28"/>
          <w:szCs w:val="28"/>
          <w:rtl/>
        </w:rPr>
        <w:t>– فأين الفعل المؤثم في موضوعي الماثل أمامكم حتى يكون هناك مرتكب له ؟؟؟ – فعلى العكس من ذلك فقد</w:t>
      </w:r>
      <w:r>
        <w:rPr>
          <w:b/>
          <w:bCs/>
          <w:sz w:val="28"/>
          <w:szCs w:val="28"/>
          <w:u w:val="single"/>
          <w:rtl/>
        </w:rPr>
        <w:t xml:space="preserve"> نصت المادة (55) من نظام الإجراءات الجزائية أن</w:t>
      </w:r>
      <w:r>
        <w:rPr>
          <w:sz w:val="28"/>
          <w:szCs w:val="28"/>
          <w:rtl/>
        </w:rPr>
        <w:t xml:space="preserve"> "للرسائل البريدية والبرقية والمحادثات الهاتفية </w:t>
      </w:r>
      <w:r>
        <w:rPr>
          <w:b/>
          <w:bCs/>
          <w:sz w:val="28"/>
          <w:szCs w:val="28"/>
          <w:highlight w:val="yellow"/>
          <w:u w:val="single"/>
          <w:rtl/>
        </w:rPr>
        <w:t>وغيرها من وسائل الاتصال حرمة، فلا يجوز الاطلاع عليها</w:t>
      </w:r>
      <w:r>
        <w:rPr>
          <w:b/>
          <w:bCs/>
          <w:sz w:val="28"/>
          <w:szCs w:val="28"/>
          <w:u w:val="single"/>
          <w:rtl/>
        </w:rPr>
        <w:t xml:space="preserve"> </w:t>
      </w:r>
      <w:r>
        <w:rPr>
          <w:sz w:val="28"/>
          <w:szCs w:val="28"/>
          <w:rtl/>
        </w:rPr>
        <w:t>أو مراقبتها إلا بأمر مسبَّب ولمدة محددة، وفقاً لما ينص عليه هذا النظام" وبالمخالفة لأحكام النظام فقد قاموا رجال هيئة الأمر بالمعروف بإنتهاك النظام وما تبعه من خصوصياتي وحرمة هاتفي الخاص دون مراعاة للنظام وأحكامه وبالتالي فهم من ينبغي إتهامهم ومن ثم معاقبتهم على إنتهاكهم للنظام وليس أنا .</w:t>
      </w:r>
    </w:p>
    <w:p w:rsidR="00457F21" w:rsidRDefault="00457F21" w:rsidP="00457F21">
      <w:pPr>
        <w:pStyle w:val="ListParagraph"/>
        <w:numPr>
          <w:ilvl w:val="0"/>
          <w:numId w:val="2"/>
        </w:numPr>
        <w:bidi/>
        <w:spacing w:before="240" w:line="360" w:lineRule="auto"/>
        <w:jc w:val="both"/>
        <w:rPr>
          <w:b/>
          <w:bCs/>
          <w:sz w:val="28"/>
          <w:szCs w:val="28"/>
          <w:highlight w:val="yellow"/>
          <w:u w:val="single"/>
        </w:rPr>
      </w:pPr>
      <w:r>
        <w:rPr>
          <w:b/>
          <w:bCs/>
          <w:sz w:val="28"/>
          <w:szCs w:val="28"/>
          <w:highlight w:val="yellow"/>
          <w:u w:val="single"/>
          <w:rtl/>
        </w:rPr>
        <w:t>أما عن الركن المعنوي للجريمة – وهو توجه إرادة المتهم لإرتكاب الجريمة متعمداً :-</w:t>
      </w:r>
      <w:r>
        <w:rPr>
          <w:b/>
          <w:bCs/>
          <w:sz w:val="28"/>
          <w:szCs w:val="28"/>
          <w:u w:val="single"/>
          <w:rtl/>
        </w:rPr>
        <w:t xml:space="preserve"> </w:t>
      </w:r>
      <w:r>
        <w:rPr>
          <w:sz w:val="28"/>
          <w:szCs w:val="28"/>
          <w:rtl/>
        </w:rPr>
        <w:t xml:space="preserve">فقد أشترط المشرع لإعتبار أن هناك جريمة يعاقب فاعلها </w:t>
      </w:r>
      <w:r>
        <w:rPr>
          <w:b/>
          <w:bCs/>
          <w:sz w:val="28"/>
          <w:szCs w:val="28"/>
          <w:highlight w:val="yellow"/>
          <w:u w:val="single"/>
          <w:rtl/>
        </w:rPr>
        <w:t>توافر نية القصد الجنائي</w:t>
      </w:r>
      <w:r>
        <w:rPr>
          <w:sz w:val="28"/>
          <w:szCs w:val="28"/>
          <w:rtl/>
        </w:rPr>
        <w:t xml:space="preserve"> وهذا ما لم يتوفر في دعواي الماثلة أمام فضيلتكم فهل هناك ما يجرم وضع شخص ما لرقم هاتفه على نظام البلوتوث؟؟؟ ومن منطلق القاعدة القانونية والفقية التي تنص على أنه "لا جريمة ولا عقوبة إلا بنص" كما أوضحنا بالبند (2) أعلاه – جاء قرار الإتهام وتحريك الدعوى على أساس باطل دونما سند نظامي يدعمه فلا يوجد نص نظامي يجرم وضع رقم هاتفي على البلوتوث – فتلك حرية شخصية أكتب ما أشاء على هاتفي أو لا أسميه – فأين المخالفة والجريمة إذن وهل للرجال الضبط أن يجرموا ما لم يجرمه القانون أو ينص عليه؟؟؟!!!! – </w:t>
      </w:r>
      <w:r>
        <w:rPr>
          <w:b/>
          <w:bCs/>
          <w:sz w:val="28"/>
          <w:szCs w:val="28"/>
          <w:u w:val="single"/>
          <w:rtl/>
        </w:rPr>
        <w:t>كما أن فضيلة القاضي ناظر الدعوى قام بتسبيب الحكم الصادر بدعوى أن ما فعلته يعد استهتار ولامبالاة بالجهات زيادة على فعل المعاكسة من خلال اصطياد النساء عبر خدمة البلوتوث – في الحقيقة أنني أستغرب من كل ما حدث أين فعل المعاكسة؟؟؟ وهل تم ضبط نساء برفقتي حتى أتهم باصطياد النساء؟؟؟ أن ذلك أتهام قاسي جداً ولا أقبله نهائياً – ومن الممكن أن يتسبب في مشاكل أسرية لي حيث أنني متزوج وكنت برفقة أهلي بالسوق –  إلا أنني وبفضل الله أتمتع بثقة من أسرتي لا تبعث لهم أدنى شك أن أقوم بهذا الفعل .</w:t>
      </w:r>
    </w:p>
    <w:p w:rsidR="00CF29D9" w:rsidRPr="00457F21" w:rsidRDefault="00CF29D9"/>
    <w:sectPr w:rsidR="00CF29D9" w:rsidRPr="00457F21" w:rsidSect="00777EA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564653"/>
    <w:multiLevelType w:val="hybridMultilevel"/>
    <w:tmpl w:val="54300B3C"/>
    <w:lvl w:ilvl="0" w:tplc="099036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7A7CBE"/>
    <w:multiLevelType w:val="hybridMultilevel"/>
    <w:tmpl w:val="0E1A7214"/>
    <w:lvl w:ilvl="0" w:tplc="0436FB18">
      <w:start w:val="1"/>
      <w:numFmt w:val="arabicAlpha"/>
      <w:lvlText w:val="%1-"/>
      <w:lvlJc w:val="left"/>
      <w:pPr>
        <w:ind w:left="720" w:hanging="360"/>
      </w:pPr>
      <w:rPr>
        <w:lang w:val="en-U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337717F4"/>
    <w:multiLevelType w:val="hybridMultilevel"/>
    <w:tmpl w:val="D92E3B7E"/>
    <w:lvl w:ilvl="0" w:tplc="DEDE766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3E9"/>
    <w:rsid w:val="00457F21"/>
    <w:rsid w:val="004E69A6"/>
    <w:rsid w:val="005953E9"/>
    <w:rsid w:val="00777EAF"/>
    <w:rsid w:val="00CF29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3444D8-D17C-4619-A4AB-0A101B5DD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7F21"/>
    <w:pPr>
      <w:bidi/>
      <w:spacing w:after="200" w:line="27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F21"/>
    <w:pPr>
      <w:bidi w:val="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628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dc:creator>
  <cp:keywords/>
  <dc:description/>
  <cp:lastModifiedBy>Yasser</cp:lastModifiedBy>
  <cp:revision>4</cp:revision>
  <dcterms:created xsi:type="dcterms:W3CDTF">2017-02-20T18:35:00Z</dcterms:created>
  <dcterms:modified xsi:type="dcterms:W3CDTF">2017-02-20T19:40:00Z</dcterms:modified>
</cp:coreProperties>
</file>