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1C37C7" w14:textId="77777777" w:rsidR="00C4337B" w:rsidRPr="00C4337B" w:rsidRDefault="00C4337B" w:rsidP="00C4337B">
      <w:pPr>
        <w:tabs>
          <w:tab w:val="left" w:pos="1152"/>
        </w:tabs>
        <w:bidi/>
        <w:ind w:left="310"/>
        <w:jc w:val="center"/>
        <w:rPr>
          <w:rFonts w:ascii="Traditional Arabic" w:hAnsi="Traditional Arabic" w:cs="Traditional Arabic"/>
          <w:b/>
          <w:bCs/>
          <w:sz w:val="28"/>
          <w:szCs w:val="28"/>
        </w:rPr>
      </w:pPr>
      <w:r w:rsidRPr="00C4337B">
        <w:rPr>
          <w:rFonts w:ascii="Traditional Arabic" w:hAnsi="Traditional Arabic" w:cs="Traditional Arabic"/>
          <w:b/>
          <w:bCs/>
          <w:sz w:val="28"/>
          <w:szCs w:val="28"/>
          <w:rtl/>
        </w:rPr>
        <w:t>بسم الله الرحمن الرحيم</w:t>
      </w:r>
    </w:p>
    <w:p w14:paraId="7A94C7CC" w14:textId="77777777" w:rsidR="00C4337B" w:rsidRPr="00C4337B" w:rsidRDefault="00C4337B" w:rsidP="00C4337B">
      <w:pPr>
        <w:tabs>
          <w:tab w:val="left" w:pos="1152"/>
        </w:tabs>
        <w:bidi/>
        <w:ind w:left="310"/>
        <w:jc w:val="both"/>
        <w:rPr>
          <w:rFonts w:ascii="Traditional Arabic" w:hAnsi="Traditional Arabic" w:cs="Traditional Arabic"/>
          <w:b/>
          <w:bCs/>
          <w:sz w:val="28"/>
          <w:szCs w:val="28"/>
        </w:rPr>
      </w:pPr>
      <w:r w:rsidRPr="00C4337B">
        <w:rPr>
          <w:rFonts w:ascii="Traditional Arabic" w:hAnsi="Traditional Arabic" w:cs="Traditional Arabic"/>
          <w:b/>
          <w:bCs/>
          <w:sz w:val="28"/>
          <w:szCs w:val="28"/>
          <w:rtl/>
        </w:rPr>
        <w:t>صاحب الفضيلة رئيس وأصحاب الفضيلة أعضاء دائرة الاستئناف الجزائية – سددهم الله</w:t>
      </w:r>
    </w:p>
    <w:p w14:paraId="38C1DCA3" w14:textId="77777777" w:rsidR="00C4337B" w:rsidRPr="00C4337B" w:rsidRDefault="00C4337B" w:rsidP="00C4337B">
      <w:pPr>
        <w:tabs>
          <w:tab w:val="left" w:pos="1152"/>
        </w:tabs>
        <w:bidi/>
        <w:ind w:left="310"/>
        <w:jc w:val="both"/>
        <w:rPr>
          <w:rFonts w:ascii="Traditional Arabic" w:hAnsi="Traditional Arabic" w:cs="Traditional Arabic"/>
          <w:b/>
          <w:bCs/>
          <w:sz w:val="28"/>
          <w:szCs w:val="28"/>
        </w:rPr>
      </w:pPr>
      <w:r w:rsidRPr="00C4337B">
        <w:rPr>
          <w:rFonts w:ascii="Traditional Arabic" w:hAnsi="Traditional Arabic" w:cs="Traditional Arabic"/>
          <w:b/>
          <w:bCs/>
          <w:sz w:val="28"/>
          <w:szCs w:val="28"/>
          <w:rtl/>
        </w:rPr>
        <w:t>السلام عليكم ورحمة الله وبركاته، وبعد</w:t>
      </w:r>
      <w:r w:rsidRPr="00C4337B">
        <w:rPr>
          <w:rFonts w:ascii="Traditional Arabic" w:hAnsi="Traditional Arabic" w:cs="Traditional Arabic"/>
          <w:b/>
          <w:bCs/>
          <w:sz w:val="28"/>
          <w:szCs w:val="28"/>
        </w:rPr>
        <w:t>:</w:t>
      </w:r>
    </w:p>
    <w:p w14:paraId="003A390D" w14:textId="77777777" w:rsidR="00C4337B" w:rsidRPr="00C4337B" w:rsidRDefault="00C4337B" w:rsidP="00C4337B">
      <w:pPr>
        <w:tabs>
          <w:tab w:val="left" w:pos="1152"/>
        </w:tabs>
        <w:bidi/>
        <w:ind w:left="310"/>
        <w:jc w:val="both"/>
        <w:rPr>
          <w:rFonts w:ascii="Traditional Arabic" w:hAnsi="Traditional Arabic" w:cs="Traditional Arabic"/>
          <w:b/>
          <w:bCs/>
          <w:sz w:val="28"/>
          <w:szCs w:val="28"/>
        </w:rPr>
      </w:pPr>
      <w:r w:rsidRPr="00C4337B">
        <w:rPr>
          <w:rFonts w:ascii="Traditional Arabic" w:hAnsi="Traditional Arabic" w:cs="Traditional Arabic"/>
          <w:b/>
          <w:bCs/>
          <w:sz w:val="28"/>
          <w:szCs w:val="28"/>
          <w:rtl/>
        </w:rPr>
        <w:t>الموضوع: مذكرة اعتراض على الحكم الصادر في الدعوى الجزائية رقم (4670987860) المقيدة لدى الدائرة الجزائية المشتركة السادسة بالرياض</w:t>
      </w:r>
      <w:r w:rsidRPr="00C4337B">
        <w:rPr>
          <w:rFonts w:ascii="Traditional Arabic" w:hAnsi="Traditional Arabic" w:cs="Traditional Arabic"/>
          <w:b/>
          <w:bCs/>
          <w:sz w:val="28"/>
          <w:szCs w:val="28"/>
        </w:rPr>
        <w:t>.</w:t>
      </w:r>
    </w:p>
    <w:p w14:paraId="54AB6769" w14:textId="77777777" w:rsidR="00C4337B" w:rsidRPr="00C4337B" w:rsidRDefault="00C4337B" w:rsidP="00C4337B">
      <w:pPr>
        <w:tabs>
          <w:tab w:val="left" w:pos="1152"/>
        </w:tabs>
        <w:bidi/>
        <w:ind w:left="310"/>
        <w:jc w:val="both"/>
        <w:rPr>
          <w:rFonts w:ascii="Traditional Arabic" w:hAnsi="Traditional Arabic" w:cs="Traditional Arabic"/>
          <w:b/>
          <w:bCs/>
          <w:sz w:val="28"/>
          <w:szCs w:val="28"/>
        </w:rPr>
      </w:pPr>
      <w:r w:rsidRPr="00C4337B">
        <w:rPr>
          <w:rFonts w:ascii="Traditional Arabic" w:hAnsi="Traditional Arabic" w:cs="Traditional Arabic"/>
          <w:b/>
          <w:bCs/>
          <w:sz w:val="28"/>
          <w:szCs w:val="28"/>
          <w:rtl/>
        </w:rPr>
        <w:t>مقدّمة من: المحامية جواهر الحارثي، بصفتها وكيلة عن المدعى عليه: أحمد حلمي محمود عمر، وفق الوكالة الشرعية المرفقة</w:t>
      </w:r>
      <w:r w:rsidRPr="00C4337B">
        <w:rPr>
          <w:rFonts w:ascii="Traditional Arabic" w:hAnsi="Traditional Arabic" w:cs="Traditional Arabic"/>
          <w:b/>
          <w:bCs/>
          <w:sz w:val="28"/>
          <w:szCs w:val="28"/>
        </w:rPr>
        <w:t>.</w:t>
      </w:r>
    </w:p>
    <w:p w14:paraId="4EAB101F" w14:textId="77777777" w:rsidR="00C4337B" w:rsidRPr="00C4337B" w:rsidRDefault="00C4337B" w:rsidP="00C4337B">
      <w:pPr>
        <w:tabs>
          <w:tab w:val="left" w:pos="1152"/>
        </w:tabs>
        <w:bidi/>
        <w:ind w:left="310"/>
        <w:jc w:val="both"/>
        <w:rPr>
          <w:rFonts w:ascii="Traditional Arabic" w:hAnsi="Traditional Arabic" w:cs="Traditional Arabic"/>
          <w:b/>
          <w:bCs/>
          <w:sz w:val="28"/>
          <w:szCs w:val="28"/>
        </w:rPr>
      </w:pPr>
      <w:r w:rsidRPr="00C4337B">
        <w:rPr>
          <w:rFonts w:ascii="Traditional Arabic" w:hAnsi="Traditional Arabic" w:cs="Traditional Arabic"/>
          <w:b/>
          <w:bCs/>
          <w:sz w:val="28"/>
          <w:szCs w:val="28"/>
          <w:rtl/>
        </w:rPr>
        <w:t>ضد: النيابة العامة</w:t>
      </w:r>
      <w:r w:rsidRPr="00C4337B">
        <w:rPr>
          <w:rFonts w:ascii="Traditional Arabic" w:hAnsi="Traditional Arabic" w:cs="Traditional Arabic"/>
          <w:b/>
          <w:bCs/>
          <w:sz w:val="28"/>
          <w:szCs w:val="28"/>
        </w:rPr>
        <w:t>.</w:t>
      </w:r>
    </w:p>
    <w:p w14:paraId="1396497C" w14:textId="77777777" w:rsidR="00C4337B" w:rsidRPr="00C4337B" w:rsidRDefault="00C4337B" w:rsidP="00C4337B">
      <w:pPr>
        <w:tabs>
          <w:tab w:val="left" w:pos="1152"/>
        </w:tabs>
        <w:bidi/>
        <w:ind w:left="310"/>
        <w:jc w:val="both"/>
        <w:rPr>
          <w:rFonts w:ascii="Traditional Arabic" w:hAnsi="Traditional Arabic" w:cs="Traditional Arabic"/>
          <w:b/>
          <w:bCs/>
          <w:sz w:val="28"/>
          <w:szCs w:val="28"/>
        </w:rPr>
      </w:pPr>
      <w:r w:rsidRPr="00C4337B">
        <w:rPr>
          <w:rFonts w:ascii="Traditional Arabic" w:hAnsi="Traditional Arabic" w:cs="Traditional Arabic"/>
          <w:b/>
          <w:bCs/>
          <w:sz w:val="28"/>
          <w:szCs w:val="28"/>
          <w:rtl/>
        </w:rPr>
        <w:t>الموضوع: الاعتراض على الحكم الجزائي الصادر بإدانة موكلي بجريمة التحرش ومعاقبته بالسجن لمدة ثلاث سنوات، منها سنة واحدة محتسبة من مدة الإيقاف، وتغريمه أربعين ألف ريال</w:t>
      </w:r>
      <w:r w:rsidRPr="00C4337B">
        <w:rPr>
          <w:rFonts w:ascii="Traditional Arabic" w:hAnsi="Traditional Arabic" w:cs="Traditional Arabic"/>
          <w:b/>
          <w:bCs/>
          <w:sz w:val="28"/>
          <w:szCs w:val="28"/>
        </w:rPr>
        <w:t>.</w:t>
      </w:r>
    </w:p>
    <w:p w14:paraId="078DD3D2" w14:textId="77777777" w:rsidR="00C4337B" w:rsidRPr="00C4337B" w:rsidRDefault="00C4337B" w:rsidP="00C4337B">
      <w:pPr>
        <w:tabs>
          <w:tab w:val="left" w:pos="1152"/>
        </w:tabs>
        <w:bidi/>
        <w:ind w:left="310"/>
        <w:jc w:val="both"/>
        <w:rPr>
          <w:rFonts w:ascii="Traditional Arabic" w:hAnsi="Traditional Arabic" w:cs="Traditional Arabic"/>
          <w:b/>
          <w:bCs/>
          <w:sz w:val="28"/>
          <w:szCs w:val="28"/>
        </w:rPr>
      </w:pPr>
      <w:r w:rsidRPr="00C4337B">
        <w:rPr>
          <w:rFonts w:ascii="Traditional Arabic" w:hAnsi="Traditional Arabic" w:cs="Traditional Arabic"/>
          <w:b/>
          <w:bCs/>
          <w:sz w:val="28"/>
          <w:szCs w:val="28"/>
          <w:rtl/>
        </w:rPr>
        <w:t xml:space="preserve">وحيث صدر الحكم محل الاعتراض بتاريخ </w:t>
      </w:r>
      <w:r w:rsidRPr="00C4337B">
        <w:rPr>
          <w:rFonts w:ascii="Traditional Arabic" w:hAnsi="Traditional Arabic" w:cs="Traditional Arabic"/>
          <w:b/>
          <w:bCs/>
          <w:sz w:val="28"/>
          <w:szCs w:val="28"/>
        </w:rPr>
        <w:t>…</w:t>
      </w:r>
      <w:r w:rsidRPr="00C4337B">
        <w:rPr>
          <w:rFonts w:ascii="Traditional Arabic" w:hAnsi="Traditional Arabic" w:cs="Traditional Arabic"/>
          <w:b/>
          <w:bCs/>
          <w:sz w:val="28"/>
          <w:szCs w:val="28"/>
          <w:rtl/>
        </w:rPr>
        <w:t xml:space="preserve">، وتم تسليم صورة منه لموكلي في الجلسة المنعقدة بتاريخ </w:t>
      </w:r>
      <w:r w:rsidRPr="00C4337B">
        <w:rPr>
          <w:rFonts w:ascii="Traditional Arabic" w:hAnsi="Traditional Arabic" w:cs="Traditional Arabic"/>
          <w:b/>
          <w:bCs/>
          <w:sz w:val="28"/>
          <w:szCs w:val="28"/>
        </w:rPr>
        <w:t>…</w:t>
      </w:r>
      <w:r w:rsidRPr="00C4337B">
        <w:rPr>
          <w:rFonts w:ascii="Traditional Arabic" w:hAnsi="Traditional Arabic" w:cs="Traditional Arabic"/>
          <w:b/>
          <w:bCs/>
          <w:sz w:val="28"/>
          <w:szCs w:val="28"/>
          <w:rtl/>
        </w:rPr>
        <w:t>، وحيث إن هذا الحكم – برمته – جاء مخالفًا لصحيح الوقائع، ومجافيًا لمقتضى الأنظمة المرعية، ومفتقرًا إلى التكييف النظامي السليم، ومعتمدًا في ثبوت الجرم على قرائن لا ترقى إلى مستوى الأدلة الموصلة، على نحو يستوجب نقضه وإلغاؤه</w:t>
      </w:r>
      <w:r w:rsidRPr="00C4337B">
        <w:rPr>
          <w:rFonts w:ascii="Traditional Arabic" w:hAnsi="Traditional Arabic" w:cs="Traditional Arabic"/>
          <w:b/>
          <w:bCs/>
          <w:sz w:val="28"/>
          <w:szCs w:val="28"/>
        </w:rPr>
        <w:t>.</w:t>
      </w:r>
    </w:p>
    <w:p w14:paraId="478631ED" w14:textId="77777777" w:rsidR="00C4337B" w:rsidRPr="00C4337B" w:rsidRDefault="00C4337B" w:rsidP="00C4337B">
      <w:pPr>
        <w:tabs>
          <w:tab w:val="left" w:pos="1152"/>
        </w:tabs>
        <w:bidi/>
        <w:ind w:left="310"/>
        <w:jc w:val="both"/>
        <w:rPr>
          <w:rFonts w:ascii="Traditional Arabic" w:hAnsi="Traditional Arabic" w:cs="Traditional Arabic"/>
          <w:b/>
          <w:bCs/>
          <w:sz w:val="28"/>
          <w:szCs w:val="28"/>
        </w:rPr>
      </w:pPr>
      <w:r w:rsidRPr="00C4337B">
        <w:rPr>
          <w:rFonts w:ascii="Segoe UI Symbol" w:hAnsi="Segoe UI Symbol" w:cs="Segoe UI Symbol"/>
          <w:b/>
          <w:bCs/>
          <w:sz w:val="28"/>
          <w:szCs w:val="28"/>
        </w:rPr>
        <w:t>🔹</w:t>
      </w:r>
      <w:r w:rsidRPr="00C4337B">
        <w:rPr>
          <w:rFonts w:ascii="Traditional Arabic" w:hAnsi="Traditional Arabic" w:cs="Traditional Arabic"/>
          <w:b/>
          <w:bCs/>
          <w:sz w:val="28"/>
          <w:szCs w:val="28"/>
        </w:rPr>
        <w:t xml:space="preserve"> </w:t>
      </w:r>
      <w:r w:rsidRPr="00C4337B">
        <w:rPr>
          <w:rFonts w:ascii="Traditional Arabic" w:hAnsi="Traditional Arabic" w:cs="Traditional Arabic"/>
          <w:b/>
          <w:bCs/>
          <w:sz w:val="28"/>
          <w:szCs w:val="28"/>
          <w:rtl/>
        </w:rPr>
        <w:t>أولًا: بيان الحكم محل الاعتراض</w:t>
      </w:r>
    </w:p>
    <w:p w14:paraId="023620AD" w14:textId="77777777" w:rsidR="00C4337B" w:rsidRPr="00C4337B" w:rsidRDefault="00C4337B" w:rsidP="00C4337B">
      <w:pPr>
        <w:tabs>
          <w:tab w:val="left" w:pos="1152"/>
        </w:tabs>
        <w:bidi/>
        <w:ind w:left="310"/>
        <w:jc w:val="both"/>
        <w:rPr>
          <w:rFonts w:ascii="Traditional Arabic" w:hAnsi="Traditional Arabic" w:cs="Traditional Arabic"/>
          <w:b/>
          <w:bCs/>
          <w:sz w:val="28"/>
          <w:szCs w:val="28"/>
        </w:rPr>
      </w:pPr>
      <w:r w:rsidRPr="00C4337B">
        <w:rPr>
          <w:rFonts w:ascii="Traditional Arabic" w:hAnsi="Traditional Arabic" w:cs="Traditional Arabic"/>
          <w:b/>
          <w:bCs/>
          <w:sz w:val="28"/>
          <w:szCs w:val="28"/>
          <w:rtl/>
        </w:rPr>
        <w:t>صدر الحكم محل الاعتراض بتاريخ …، وتم تسليم صورة منه لموكلي في الجلسة المنعقدة بتاريخ …، وقد قضى بما يلي</w:t>
      </w:r>
      <w:r w:rsidRPr="00C4337B">
        <w:rPr>
          <w:rFonts w:ascii="Traditional Arabic" w:hAnsi="Traditional Arabic" w:cs="Traditional Arabic"/>
          <w:b/>
          <w:bCs/>
          <w:sz w:val="28"/>
          <w:szCs w:val="28"/>
        </w:rPr>
        <w:t>:</w:t>
      </w:r>
    </w:p>
    <w:p w14:paraId="71903C93" w14:textId="77777777" w:rsidR="00C4337B" w:rsidRPr="00C4337B" w:rsidRDefault="00C4337B" w:rsidP="00C4337B">
      <w:pPr>
        <w:numPr>
          <w:ilvl w:val="0"/>
          <w:numId w:val="26"/>
        </w:numPr>
        <w:tabs>
          <w:tab w:val="left" w:pos="1152"/>
        </w:tabs>
        <w:bidi/>
        <w:jc w:val="both"/>
        <w:rPr>
          <w:rFonts w:ascii="Traditional Arabic" w:hAnsi="Traditional Arabic" w:cs="Traditional Arabic"/>
          <w:b/>
          <w:bCs/>
          <w:sz w:val="28"/>
          <w:szCs w:val="28"/>
        </w:rPr>
      </w:pPr>
      <w:r w:rsidRPr="00C4337B">
        <w:rPr>
          <w:rFonts w:ascii="Traditional Arabic" w:hAnsi="Traditional Arabic" w:cs="Traditional Arabic"/>
          <w:b/>
          <w:bCs/>
          <w:sz w:val="28"/>
          <w:szCs w:val="28"/>
          <w:rtl/>
        </w:rPr>
        <w:t>أولًا: ثبوت إدانة موكلي بجريمة التحرش، بلمس كتف المدعية/ إبرار، والتلفظ على المدعية/ مرام بعبارات خادشة</w:t>
      </w:r>
      <w:r w:rsidRPr="00C4337B">
        <w:rPr>
          <w:rFonts w:ascii="Traditional Arabic" w:hAnsi="Traditional Arabic" w:cs="Traditional Arabic"/>
          <w:b/>
          <w:bCs/>
          <w:sz w:val="28"/>
          <w:szCs w:val="28"/>
        </w:rPr>
        <w:t>.</w:t>
      </w:r>
    </w:p>
    <w:p w14:paraId="4570C84B" w14:textId="77777777" w:rsidR="00C4337B" w:rsidRPr="00C4337B" w:rsidRDefault="00C4337B" w:rsidP="00C4337B">
      <w:pPr>
        <w:numPr>
          <w:ilvl w:val="0"/>
          <w:numId w:val="26"/>
        </w:numPr>
        <w:tabs>
          <w:tab w:val="left" w:pos="1152"/>
        </w:tabs>
        <w:bidi/>
        <w:jc w:val="both"/>
        <w:rPr>
          <w:rFonts w:ascii="Traditional Arabic" w:hAnsi="Traditional Arabic" w:cs="Traditional Arabic"/>
          <w:b/>
          <w:bCs/>
          <w:sz w:val="28"/>
          <w:szCs w:val="28"/>
        </w:rPr>
      </w:pPr>
      <w:r w:rsidRPr="00C4337B">
        <w:rPr>
          <w:rFonts w:ascii="Traditional Arabic" w:hAnsi="Traditional Arabic" w:cs="Traditional Arabic"/>
          <w:b/>
          <w:bCs/>
          <w:sz w:val="28"/>
          <w:szCs w:val="28"/>
          <w:rtl/>
        </w:rPr>
        <w:t>ثانيًا: معاقبته بالسجن ثلاث سنوات منها سنة محسوبة من مدة الإيقاف، وتغريمه أربعين ألف ريال</w:t>
      </w:r>
      <w:r w:rsidRPr="00C4337B">
        <w:rPr>
          <w:rFonts w:ascii="Traditional Arabic" w:hAnsi="Traditional Arabic" w:cs="Traditional Arabic"/>
          <w:b/>
          <w:bCs/>
          <w:sz w:val="28"/>
          <w:szCs w:val="28"/>
        </w:rPr>
        <w:t>.</w:t>
      </w:r>
    </w:p>
    <w:p w14:paraId="12C0BD97" w14:textId="77777777" w:rsidR="00C4337B" w:rsidRPr="00C4337B" w:rsidRDefault="00C4337B" w:rsidP="00C4337B">
      <w:pPr>
        <w:numPr>
          <w:ilvl w:val="0"/>
          <w:numId w:val="26"/>
        </w:numPr>
        <w:tabs>
          <w:tab w:val="left" w:pos="1152"/>
        </w:tabs>
        <w:bidi/>
        <w:jc w:val="both"/>
        <w:rPr>
          <w:rFonts w:ascii="Traditional Arabic" w:hAnsi="Traditional Arabic" w:cs="Traditional Arabic"/>
          <w:b/>
          <w:bCs/>
          <w:sz w:val="28"/>
          <w:szCs w:val="28"/>
        </w:rPr>
      </w:pPr>
      <w:r w:rsidRPr="00C4337B">
        <w:rPr>
          <w:rFonts w:ascii="Traditional Arabic" w:hAnsi="Traditional Arabic" w:cs="Traditional Arabic"/>
          <w:b/>
          <w:bCs/>
          <w:sz w:val="28"/>
          <w:szCs w:val="28"/>
          <w:rtl/>
        </w:rPr>
        <w:t>ثالثًا: رد طلب المدعي العام نشر ملخص الحكم</w:t>
      </w:r>
      <w:r w:rsidRPr="00C4337B">
        <w:rPr>
          <w:rFonts w:ascii="Traditional Arabic" w:hAnsi="Traditional Arabic" w:cs="Traditional Arabic"/>
          <w:b/>
          <w:bCs/>
          <w:sz w:val="28"/>
          <w:szCs w:val="28"/>
        </w:rPr>
        <w:t>.</w:t>
      </w:r>
    </w:p>
    <w:p w14:paraId="07360341" w14:textId="77777777" w:rsidR="00C4337B" w:rsidRPr="00C4337B" w:rsidRDefault="00C4337B" w:rsidP="00C4337B">
      <w:pPr>
        <w:tabs>
          <w:tab w:val="left" w:pos="1152"/>
        </w:tabs>
        <w:bidi/>
        <w:ind w:left="310"/>
        <w:jc w:val="both"/>
        <w:rPr>
          <w:rFonts w:ascii="Traditional Arabic" w:hAnsi="Traditional Arabic" w:cs="Traditional Arabic"/>
          <w:b/>
          <w:bCs/>
          <w:sz w:val="28"/>
          <w:szCs w:val="28"/>
        </w:rPr>
      </w:pPr>
      <w:r w:rsidRPr="00C4337B">
        <w:rPr>
          <w:rFonts w:ascii="Traditional Arabic" w:hAnsi="Traditional Arabic" w:cs="Traditional Arabic"/>
          <w:b/>
          <w:bCs/>
          <w:sz w:val="28"/>
          <w:szCs w:val="28"/>
          <w:rtl/>
        </w:rPr>
        <w:t>وحيث إن هذا الحكم قد صدر مجافيًا للثابت من الأوراق، ومخالفًا للأنظمة المرعية، قاصرًا في تسبيبه، خاطئًا في تكييفه، ومعتمدًا على قرائن غير موصلة لا تنهض بالإدانة، فإننا نتقدم بهذه المذكرة بطلب نقض الحكم الاستئنافي، تأسيسًا على ما يلي</w:t>
      </w:r>
      <w:r w:rsidRPr="00C4337B">
        <w:rPr>
          <w:rFonts w:ascii="Traditional Arabic" w:hAnsi="Traditional Arabic" w:cs="Traditional Arabic"/>
          <w:b/>
          <w:bCs/>
          <w:sz w:val="28"/>
          <w:szCs w:val="28"/>
        </w:rPr>
        <w:t>:</w:t>
      </w:r>
    </w:p>
    <w:p w14:paraId="1BAF1A5D" w14:textId="77777777" w:rsidR="00993006" w:rsidRDefault="00993006" w:rsidP="00C4337B">
      <w:pPr>
        <w:tabs>
          <w:tab w:val="left" w:pos="1152"/>
        </w:tabs>
        <w:bidi/>
        <w:ind w:left="310"/>
        <w:jc w:val="both"/>
        <w:rPr>
          <w:rFonts w:ascii="Traditional Arabic" w:hAnsi="Traditional Arabic" w:cs="Traditional Arabic"/>
          <w:b/>
          <w:bCs/>
          <w:sz w:val="28"/>
          <w:szCs w:val="28"/>
          <w:rtl/>
        </w:rPr>
      </w:pPr>
    </w:p>
    <w:p w14:paraId="782E5EFE" w14:textId="77777777" w:rsidR="00993006" w:rsidRDefault="00993006" w:rsidP="00993006">
      <w:pPr>
        <w:tabs>
          <w:tab w:val="left" w:pos="1152"/>
        </w:tabs>
        <w:bidi/>
        <w:ind w:left="310"/>
        <w:jc w:val="both"/>
        <w:rPr>
          <w:rFonts w:ascii="Traditional Arabic" w:hAnsi="Traditional Arabic" w:cs="Traditional Arabic"/>
          <w:b/>
          <w:bCs/>
          <w:sz w:val="28"/>
          <w:szCs w:val="28"/>
          <w:rtl/>
        </w:rPr>
      </w:pPr>
    </w:p>
    <w:p w14:paraId="38410E8E" w14:textId="77777777" w:rsidR="00993006" w:rsidRDefault="00993006" w:rsidP="00993006">
      <w:pPr>
        <w:tabs>
          <w:tab w:val="left" w:pos="1152"/>
        </w:tabs>
        <w:bidi/>
        <w:ind w:left="310"/>
        <w:jc w:val="both"/>
        <w:rPr>
          <w:rFonts w:ascii="Traditional Arabic" w:hAnsi="Traditional Arabic" w:cs="Traditional Arabic"/>
          <w:b/>
          <w:bCs/>
          <w:sz w:val="28"/>
          <w:szCs w:val="28"/>
          <w:rtl/>
        </w:rPr>
      </w:pPr>
    </w:p>
    <w:p w14:paraId="1C591BA2" w14:textId="75E6F48F" w:rsidR="006855D9" w:rsidRDefault="006855D9" w:rsidP="00993006">
      <w:pPr>
        <w:tabs>
          <w:tab w:val="left" w:pos="1152"/>
        </w:tabs>
        <w:bidi/>
        <w:ind w:left="310"/>
        <w:jc w:val="both"/>
        <w:rPr>
          <w:rFonts w:ascii="Traditional Arabic" w:hAnsi="Traditional Arabic" w:cs="Traditional Arabic"/>
          <w:b/>
          <w:bCs/>
          <w:sz w:val="28"/>
          <w:szCs w:val="28"/>
          <w:rtl/>
        </w:rPr>
      </w:pPr>
      <w:r w:rsidRPr="006855D9">
        <w:rPr>
          <w:rFonts w:ascii="Traditional Arabic" w:hAnsi="Traditional Arabic" w:cs="Traditional Arabic"/>
          <w:b/>
          <w:bCs/>
          <w:sz w:val="28"/>
          <w:szCs w:val="28"/>
          <w:rtl/>
        </w:rPr>
        <w:lastRenderedPageBreak/>
        <w:t xml:space="preserve">السبب الأول: </w:t>
      </w:r>
      <w:r>
        <w:rPr>
          <w:rFonts w:ascii="Traditional Arabic" w:hAnsi="Traditional Arabic" w:cs="Traditional Arabic" w:hint="cs"/>
          <w:b/>
          <w:bCs/>
          <w:sz w:val="28"/>
          <w:szCs w:val="28"/>
          <w:rtl/>
        </w:rPr>
        <w:t xml:space="preserve">القصور في التسبيب والاستدلال </w:t>
      </w:r>
      <w:r w:rsidR="00C4337B" w:rsidRPr="00C4337B">
        <w:rPr>
          <w:rFonts w:ascii="Traditional Arabic" w:hAnsi="Traditional Arabic" w:cs="Traditional Arabic"/>
          <w:b/>
          <w:bCs/>
          <w:sz w:val="28"/>
          <w:szCs w:val="28"/>
          <w:rtl/>
        </w:rPr>
        <w:t>وبناء الحكم على قرائن غير موصلة</w:t>
      </w:r>
      <w:r w:rsidR="007419E3">
        <w:rPr>
          <w:rFonts w:ascii="Traditional Arabic" w:hAnsi="Traditional Arabic" w:cs="Traditional Arabic" w:hint="cs"/>
          <w:b/>
          <w:bCs/>
          <w:sz w:val="28"/>
          <w:szCs w:val="28"/>
          <w:rtl/>
        </w:rPr>
        <w:t>.</w:t>
      </w:r>
    </w:p>
    <w:p w14:paraId="4A499F55" w14:textId="52D07EEF" w:rsidR="000422C5" w:rsidRPr="004F2B66" w:rsidRDefault="004F2B66" w:rsidP="004F2B66">
      <w:pPr>
        <w:pStyle w:val="ListParagraph"/>
        <w:numPr>
          <w:ilvl w:val="0"/>
          <w:numId w:val="10"/>
        </w:numPr>
        <w:tabs>
          <w:tab w:val="left" w:pos="1152"/>
        </w:tabs>
        <w:bidi/>
        <w:jc w:val="both"/>
        <w:rPr>
          <w:rFonts w:ascii="Traditional Arabic" w:hAnsi="Traditional Arabic" w:cs="Traditional Arabic"/>
          <w:sz w:val="28"/>
          <w:szCs w:val="28"/>
        </w:rPr>
      </w:pPr>
      <w:r w:rsidRPr="004F2B66">
        <w:rPr>
          <w:rFonts w:ascii="Traditional Arabic" w:hAnsi="Traditional Arabic" w:cs="Traditional Arabic"/>
          <w:sz w:val="28"/>
          <w:szCs w:val="28"/>
          <w:rtl/>
        </w:rPr>
        <w:t>بُني الحكم محل الاعتراض على واقعتين منفردتين لا تنهضان بمفردهما ل</w:t>
      </w:r>
      <w:r>
        <w:rPr>
          <w:rFonts w:ascii="Traditional Arabic" w:hAnsi="Traditional Arabic" w:cs="Traditional Arabic"/>
          <w:sz w:val="28"/>
          <w:szCs w:val="28"/>
          <w:rtl/>
        </w:rPr>
        <w:t>إثبات جريمة تعزيرية</w:t>
      </w:r>
      <w:r w:rsidR="000422C5" w:rsidRPr="004F2B66">
        <w:rPr>
          <w:rFonts w:ascii="Traditional Arabic" w:hAnsi="Traditional Arabic" w:cs="Traditional Arabic"/>
          <w:sz w:val="28"/>
          <w:szCs w:val="28"/>
          <w:rtl/>
        </w:rPr>
        <w:t>، هما</w:t>
      </w:r>
      <w:r w:rsidR="000422C5" w:rsidRPr="004F2B66">
        <w:rPr>
          <w:rFonts w:ascii="Traditional Arabic" w:hAnsi="Traditional Arabic" w:cs="Traditional Arabic"/>
          <w:sz w:val="28"/>
          <w:szCs w:val="28"/>
        </w:rPr>
        <w:t xml:space="preserve">: </w:t>
      </w:r>
      <w:r w:rsidR="000422C5" w:rsidRPr="004F2B66">
        <w:rPr>
          <w:rFonts w:ascii="Traditional Arabic" w:hAnsi="Traditional Arabic" w:cs="Traditional Arabic"/>
          <w:sz w:val="28"/>
          <w:szCs w:val="28"/>
          <w:rtl/>
        </w:rPr>
        <w:t>لمسة الكتف المنسوبة إلى موكلي تجاه المدعية/ إبرار، وعبارة "حبيبتي</w:t>
      </w:r>
      <w:r w:rsidR="000422C5" w:rsidRPr="004F2B66">
        <w:rPr>
          <w:rFonts w:ascii="Traditional Arabic" w:hAnsi="Traditional Arabic" w:cs="Traditional Arabic"/>
          <w:sz w:val="28"/>
          <w:szCs w:val="28"/>
        </w:rPr>
        <w:t xml:space="preserve">" </w:t>
      </w:r>
      <w:r w:rsidR="000422C5" w:rsidRPr="004F2B66">
        <w:rPr>
          <w:rFonts w:ascii="Traditional Arabic" w:hAnsi="Traditional Arabic" w:cs="Traditional Arabic"/>
          <w:sz w:val="28"/>
          <w:szCs w:val="28"/>
          <w:rtl/>
        </w:rPr>
        <w:t>التي قيل إنها وُجهت من موكلي إلى المدعية/ مرام، وقد رتبت المحكمة على هاتين الواقعتين وصف جريمة التحرش المعاقب عليها بموجب المادة (1) من نظام مكافحة جريمة التحرش، دون أن تستظهر السياق الكامل، أو تثبت القصد</w:t>
      </w:r>
      <w:r w:rsidR="000422C5" w:rsidRPr="004F2B66">
        <w:rPr>
          <w:rFonts w:ascii="Traditional Arabic" w:hAnsi="Traditional Arabic" w:cs="Traditional Arabic" w:hint="cs"/>
          <w:sz w:val="28"/>
          <w:szCs w:val="28"/>
          <w:rtl/>
        </w:rPr>
        <w:t xml:space="preserve"> أو</w:t>
      </w:r>
      <w:r w:rsidR="000422C5" w:rsidRPr="004F2B66">
        <w:rPr>
          <w:rFonts w:ascii="Traditional Arabic" w:hAnsi="Traditional Arabic" w:cs="Traditional Arabic"/>
          <w:sz w:val="28"/>
          <w:szCs w:val="28"/>
          <w:rtl/>
        </w:rPr>
        <w:t xml:space="preserve"> تستكمل عناصر الفعل الموجب للمساءلة النظامية، أو تربط بين الأثر والمسؤولية بثبوت لا يدخله الاحتمال</w:t>
      </w:r>
      <w:r w:rsidR="000422C5" w:rsidRPr="004F2B66">
        <w:rPr>
          <w:rFonts w:ascii="Traditional Arabic" w:hAnsi="Traditional Arabic" w:cs="Traditional Arabic"/>
          <w:sz w:val="28"/>
          <w:szCs w:val="28"/>
        </w:rPr>
        <w:t>.</w:t>
      </w:r>
    </w:p>
    <w:p w14:paraId="3604D836" w14:textId="38337F7D" w:rsidR="004F2B66" w:rsidRPr="00993006" w:rsidRDefault="007419E3" w:rsidP="004F2B66">
      <w:pPr>
        <w:numPr>
          <w:ilvl w:val="0"/>
          <w:numId w:val="10"/>
        </w:numPr>
        <w:tabs>
          <w:tab w:val="left" w:pos="1152"/>
        </w:tabs>
        <w:bidi/>
        <w:jc w:val="both"/>
        <w:rPr>
          <w:rFonts w:ascii="Traditional Arabic" w:hAnsi="Traditional Arabic" w:cs="Traditional Arabic"/>
          <w:sz w:val="28"/>
          <w:szCs w:val="28"/>
        </w:rPr>
      </w:pPr>
      <w:r w:rsidRPr="00993006">
        <w:rPr>
          <w:rFonts w:ascii="Traditional Arabic" w:hAnsi="Traditional Arabic" w:cs="Traditional Arabic" w:hint="cs"/>
          <w:sz w:val="28"/>
          <w:szCs w:val="28"/>
          <w:rtl/>
        </w:rPr>
        <w:t xml:space="preserve">كما </w:t>
      </w:r>
      <w:r w:rsidRPr="00993006">
        <w:rPr>
          <w:rFonts w:ascii="Traditional Arabic" w:hAnsi="Traditional Arabic" w:cs="Traditional Arabic"/>
          <w:sz w:val="28"/>
          <w:szCs w:val="28"/>
          <w:rtl/>
        </w:rPr>
        <w:t>إن المادة الثالثة من نظام الإجراءات الجزائية تنص صراحة على أنه</w:t>
      </w:r>
      <w:r w:rsidRPr="00993006">
        <w:rPr>
          <w:rFonts w:ascii="Traditional Arabic" w:hAnsi="Traditional Arabic" w:cs="Traditional Arabic"/>
          <w:sz w:val="28"/>
          <w:szCs w:val="28"/>
        </w:rPr>
        <w:t>: "</w:t>
      </w:r>
      <w:r w:rsidRPr="00993006">
        <w:rPr>
          <w:rFonts w:ascii="Traditional Arabic" w:hAnsi="Traditional Arabic" w:cs="Traditional Arabic"/>
          <w:sz w:val="28"/>
          <w:szCs w:val="28"/>
          <w:rtl/>
        </w:rPr>
        <w:t>لا يجوز توقيع عقوبة جزائية على أي شخص، إلا بعد ثبوت إدانته بأمر محظور شرعًا أو نظامًا بعد محاكمة تُجْرى وفقًا للمقتضى الشرعي</w:t>
      </w:r>
      <w:r w:rsidRPr="00993006">
        <w:rPr>
          <w:rFonts w:ascii="Traditional Arabic" w:hAnsi="Traditional Arabic" w:cs="Traditional Arabic"/>
          <w:sz w:val="28"/>
          <w:szCs w:val="28"/>
        </w:rPr>
        <w:t>."</w:t>
      </w:r>
      <w:r w:rsidRPr="00993006">
        <w:rPr>
          <w:rFonts w:ascii="Traditional Arabic" w:hAnsi="Traditional Arabic" w:cs="Traditional Arabic" w:hint="cs"/>
          <w:sz w:val="28"/>
          <w:szCs w:val="28"/>
          <w:rtl/>
        </w:rPr>
        <w:t xml:space="preserve"> </w:t>
      </w:r>
      <w:r w:rsidR="000422C5" w:rsidRPr="00993006">
        <w:rPr>
          <w:rFonts w:ascii="Traditional Arabic" w:hAnsi="Traditional Arabic" w:cs="Traditional Arabic"/>
          <w:sz w:val="28"/>
          <w:szCs w:val="28"/>
          <w:rtl/>
        </w:rPr>
        <w:t>ومن ثم، فإن اعتماد المحكمة على واقعتين مجردتين، محاطتين باحتمالات التأويل، دون دليل مباشر، أو إثبات فني، أو استظهار دقيق للدلالة والسياق، يجعل الحكم الصادر موصوفًا بالقصور في التسبيب، والإخلال بحجية الإثبات، ويُظهر أنه لم يُبنَ على بينة قطعية</w:t>
      </w:r>
      <w:r w:rsidR="000422C5" w:rsidRPr="00993006">
        <w:rPr>
          <w:rFonts w:ascii="Traditional Arabic" w:hAnsi="Traditional Arabic" w:cs="Traditional Arabic"/>
          <w:sz w:val="28"/>
          <w:szCs w:val="28"/>
        </w:rPr>
        <w:t>.</w:t>
      </w:r>
    </w:p>
    <w:p w14:paraId="167D5DEE" w14:textId="1DA8DC2B" w:rsidR="00A42FC5" w:rsidRPr="009B75C1" w:rsidRDefault="00942B73" w:rsidP="00942B73">
      <w:pPr>
        <w:numPr>
          <w:ilvl w:val="0"/>
          <w:numId w:val="10"/>
        </w:numPr>
        <w:tabs>
          <w:tab w:val="left" w:pos="1152"/>
        </w:tabs>
        <w:bidi/>
        <w:jc w:val="both"/>
        <w:rPr>
          <w:rFonts w:ascii="Traditional Arabic" w:hAnsi="Traditional Arabic" w:cs="Traditional Arabic"/>
          <w:sz w:val="28"/>
          <w:szCs w:val="28"/>
        </w:rPr>
      </w:pPr>
      <w:r>
        <w:rPr>
          <w:rFonts w:ascii="Traditional Arabic" w:hAnsi="Traditional Arabic" w:cs="Traditional Arabic" w:hint="cs"/>
          <w:sz w:val="28"/>
          <w:szCs w:val="28"/>
          <w:rtl/>
        </w:rPr>
        <w:t>ف</w:t>
      </w:r>
      <w:r w:rsidR="000422C5" w:rsidRPr="00A42FC5">
        <w:rPr>
          <w:rFonts w:ascii="Traditional Arabic" w:hAnsi="Traditional Arabic" w:cs="Traditional Arabic"/>
          <w:sz w:val="28"/>
          <w:szCs w:val="28"/>
          <w:rtl/>
        </w:rPr>
        <w:t>واقعة لمسة الكتف، فإن المحكمة قد اعت</w:t>
      </w:r>
      <w:r>
        <w:rPr>
          <w:rFonts w:ascii="Traditional Arabic" w:hAnsi="Traditional Arabic" w:cs="Traditional Arabic" w:hint="cs"/>
          <w:sz w:val="28"/>
          <w:szCs w:val="28"/>
          <w:rtl/>
        </w:rPr>
        <w:t>م</w:t>
      </w:r>
      <w:r w:rsidR="000422C5" w:rsidRPr="00A42FC5">
        <w:rPr>
          <w:rFonts w:ascii="Traditional Arabic" w:hAnsi="Traditional Arabic" w:cs="Traditional Arabic"/>
          <w:sz w:val="28"/>
          <w:szCs w:val="28"/>
          <w:rtl/>
        </w:rPr>
        <w:t>دت على ما ورد في محضر مكتوب قدمه المدعي العام، متضمنًا أن موكلي – بحسب تصوير الكاميرات – وضع يده على كتف المدعية أثناء سيره معها في ممر الفندق</w:t>
      </w:r>
      <w:r w:rsidR="00B75D0B" w:rsidRPr="00A42FC5">
        <w:rPr>
          <w:rFonts w:ascii="Traditional Arabic" w:hAnsi="Traditional Arabic" w:cs="Traditional Arabic"/>
          <w:sz w:val="28"/>
          <w:szCs w:val="28"/>
          <w:rtl/>
        </w:rPr>
        <w:t>، واعتبرته قرينة إثبات على سلوك ذي دلالة جنسية</w:t>
      </w:r>
      <w:r w:rsidR="000422C5" w:rsidRPr="00A42FC5">
        <w:rPr>
          <w:rFonts w:ascii="Traditional Arabic" w:hAnsi="Traditional Arabic" w:cs="Traditional Arabic"/>
          <w:sz w:val="28"/>
          <w:szCs w:val="28"/>
        </w:rPr>
        <w:t>.</w:t>
      </w:r>
      <w:r w:rsidR="000422C5" w:rsidRPr="00A42FC5">
        <w:rPr>
          <w:rFonts w:ascii="Traditional Arabic" w:hAnsi="Traditional Arabic" w:cs="Traditional Arabic" w:hint="cs"/>
          <w:sz w:val="28"/>
          <w:szCs w:val="28"/>
          <w:rtl/>
        </w:rPr>
        <w:t xml:space="preserve"> </w:t>
      </w:r>
      <w:r w:rsidR="00B75D0B" w:rsidRPr="00A42FC5">
        <w:rPr>
          <w:rFonts w:ascii="Traditional Arabic" w:hAnsi="Traditional Arabic" w:cs="Traditional Arabic"/>
          <w:sz w:val="28"/>
          <w:szCs w:val="28"/>
          <w:rtl/>
        </w:rPr>
        <w:t xml:space="preserve">إلا أن هذا المقطع المصوَّر – الذي أقر المدعي العام صراحةً بوجوده – لم يُعرض على المحكمة، ولم يُدرج ضمن ملف الدعوى، رغم أن المحكمة قد طلبت تقديمه صراحة، ومنحت المدعي العام مهلة نظامية لذلك، </w:t>
      </w:r>
      <w:r w:rsidR="009B75C1" w:rsidRPr="00A42FC5">
        <w:rPr>
          <w:rFonts w:ascii="Traditional Arabic" w:hAnsi="Traditional Arabic" w:cs="Traditional Arabic"/>
          <w:sz w:val="28"/>
          <w:szCs w:val="28"/>
          <w:rtl/>
        </w:rPr>
        <w:t>إلا أنه تخلف عن تقديمه دون مسوغ مشروع</w:t>
      </w:r>
      <w:r w:rsidR="009B75C1" w:rsidRPr="009B75C1">
        <w:rPr>
          <w:rFonts w:ascii="Traditional Arabic" w:hAnsi="Traditional Arabic" w:cs="Traditional Arabic"/>
          <w:sz w:val="28"/>
          <w:szCs w:val="28"/>
          <w:rtl/>
        </w:rPr>
        <w:t xml:space="preserve"> </w:t>
      </w:r>
      <w:r w:rsidR="009B75C1">
        <w:rPr>
          <w:rFonts w:ascii="Traditional Arabic" w:hAnsi="Traditional Arabic" w:cs="Traditional Arabic" w:hint="cs"/>
          <w:sz w:val="28"/>
          <w:szCs w:val="28"/>
          <w:rtl/>
        </w:rPr>
        <w:t>وحيث أن</w:t>
      </w:r>
      <w:r w:rsidR="009B75C1" w:rsidRPr="009B75C1">
        <w:rPr>
          <w:rFonts w:ascii="Traditional Arabic" w:hAnsi="Traditional Arabic" w:cs="Traditional Arabic"/>
          <w:sz w:val="28"/>
          <w:szCs w:val="28"/>
          <w:rtl/>
        </w:rPr>
        <w:t xml:space="preserve"> </w:t>
      </w:r>
      <w:r w:rsidR="009B75C1" w:rsidRPr="009B75C1">
        <w:rPr>
          <w:rFonts w:ascii="Traditional Arabic" w:hAnsi="Traditional Arabic" w:cs="Traditional Arabic"/>
          <w:b/>
          <w:bCs/>
          <w:sz w:val="28"/>
          <w:szCs w:val="28"/>
          <w:rtl/>
        </w:rPr>
        <w:t>امتناع المدعي العام عن تقديم الفيديو – مع سابق إقراره بوجوده – ثم الاكتفاء بما في الأوراق، يُعد من أوجه الدفاع النافية للتهمة التي يجب أن يُبنى عليها الحكم، لا أن يُهمل أثرها</w:t>
      </w:r>
      <w:r w:rsidR="009B75C1" w:rsidRPr="009B75C1">
        <w:rPr>
          <w:rFonts w:ascii="Traditional Arabic" w:hAnsi="Traditional Arabic" w:cs="Traditional Arabic"/>
          <w:sz w:val="28"/>
          <w:szCs w:val="28"/>
          <w:rtl/>
        </w:rPr>
        <w:t xml:space="preserve">، وإن </w:t>
      </w:r>
      <w:r w:rsidR="009B75C1" w:rsidRPr="009B75C1">
        <w:rPr>
          <w:rFonts w:ascii="Traditional Arabic" w:hAnsi="Traditional Arabic" w:cs="Traditional Arabic"/>
          <w:b/>
          <w:bCs/>
          <w:sz w:val="28"/>
          <w:szCs w:val="28"/>
          <w:rtl/>
        </w:rPr>
        <w:t>إغفال المحكمة لذلك قصور تسبيبي ونظامي، يُوجب النقض في محكمة الاستئناف</w:t>
      </w:r>
      <w:r w:rsidR="00B75D0B" w:rsidRPr="009B75C1">
        <w:rPr>
          <w:rFonts w:ascii="Traditional Arabic" w:hAnsi="Traditional Arabic" w:cs="Traditional Arabic"/>
          <w:sz w:val="28"/>
          <w:szCs w:val="28"/>
        </w:rPr>
        <w:t>.</w:t>
      </w:r>
      <w:r w:rsidR="00B75D0B" w:rsidRPr="009B75C1">
        <w:rPr>
          <w:rFonts w:ascii="Traditional Arabic" w:hAnsi="Traditional Arabic" w:cs="Traditional Arabic" w:hint="cs"/>
          <w:sz w:val="28"/>
          <w:szCs w:val="28"/>
          <w:rtl/>
        </w:rPr>
        <w:t xml:space="preserve"> </w:t>
      </w:r>
      <w:r w:rsidR="009B75C1">
        <w:rPr>
          <w:rFonts w:ascii="Traditional Arabic" w:hAnsi="Traditional Arabic" w:cs="Traditional Arabic" w:hint="cs"/>
          <w:sz w:val="28"/>
          <w:szCs w:val="28"/>
          <w:rtl/>
        </w:rPr>
        <w:t>حتى على الرغم من انها</w:t>
      </w:r>
      <w:r w:rsidR="00B75D0B" w:rsidRPr="009B75C1">
        <w:rPr>
          <w:rFonts w:ascii="Traditional Arabic" w:hAnsi="Traditional Arabic" w:cs="Traditional Arabic"/>
          <w:sz w:val="28"/>
          <w:szCs w:val="28"/>
          <w:rtl/>
        </w:rPr>
        <w:t xml:space="preserve"> اكتفت المحكمة بالاطلاع على هذا المحضر المكتوب، دون أن تطّلع بنفسها على التسجيل، أو تشاهد الواقعة، أو تحيل المقطع لخبير تقني مختص، كما لم تُمكِّن الدفاع من الاطلاع عليه أو مناقشة السياق السابق أو المصاحب للواقعة، أو دحض التفسير الجُرمي المستنبط منها</w:t>
      </w:r>
      <w:r w:rsidR="00B75D0B" w:rsidRPr="009B75C1">
        <w:rPr>
          <w:rFonts w:ascii="Traditional Arabic" w:hAnsi="Traditional Arabic" w:cs="Traditional Arabic"/>
          <w:sz w:val="28"/>
          <w:szCs w:val="28"/>
        </w:rPr>
        <w:t>.</w:t>
      </w:r>
      <w:r w:rsidR="00B75D0B" w:rsidRPr="009B75C1">
        <w:rPr>
          <w:rFonts w:ascii="Traditional Arabic" w:hAnsi="Traditional Arabic" w:cs="Traditional Arabic" w:hint="cs"/>
          <w:sz w:val="28"/>
          <w:szCs w:val="28"/>
          <w:rtl/>
        </w:rPr>
        <w:t xml:space="preserve"> </w:t>
      </w:r>
      <w:r w:rsidR="00B75D0B" w:rsidRPr="009B75C1">
        <w:rPr>
          <w:rFonts w:ascii="Traditional Arabic" w:hAnsi="Traditional Arabic" w:cs="Traditional Arabic"/>
          <w:sz w:val="28"/>
          <w:szCs w:val="28"/>
          <w:rtl/>
        </w:rPr>
        <w:t>وهنا تبرز أسئلة لازمة لم يُجب عليها الحكم: وهل تأكدت من أن اللمسة الموصوفة</w:t>
      </w:r>
      <w:r>
        <w:rPr>
          <w:rFonts w:ascii="Traditional Arabic" w:hAnsi="Traditional Arabic" w:cs="Traditional Arabic" w:hint="cs"/>
          <w:sz w:val="28"/>
          <w:szCs w:val="28"/>
          <w:rtl/>
        </w:rPr>
        <w:t xml:space="preserve"> (على فرض صحتها)</w:t>
      </w:r>
      <w:r w:rsidR="00B75D0B" w:rsidRPr="009B75C1">
        <w:rPr>
          <w:rFonts w:ascii="Traditional Arabic" w:hAnsi="Traditional Arabic" w:cs="Traditional Arabic"/>
          <w:sz w:val="28"/>
          <w:szCs w:val="28"/>
          <w:rtl/>
        </w:rPr>
        <w:t xml:space="preserve"> تحمل دلالة جنسية صريحة لا لبس فيها</w:t>
      </w:r>
      <w:r>
        <w:rPr>
          <w:rFonts w:ascii="Traditional Arabic" w:hAnsi="Traditional Arabic" w:cs="Traditional Arabic" w:hint="cs"/>
          <w:sz w:val="28"/>
          <w:szCs w:val="28"/>
          <w:rtl/>
        </w:rPr>
        <w:t xml:space="preserve"> أم كان واقع الحال والظرف يدعي عكس ذلك</w:t>
      </w:r>
      <w:bookmarkStart w:id="0" w:name="_GoBack"/>
      <w:bookmarkEnd w:id="0"/>
      <w:r w:rsidR="00B75D0B" w:rsidRPr="009B75C1">
        <w:rPr>
          <w:rFonts w:ascii="Traditional Arabic" w:hAnsi="Traditional Arabic" w:cs="Traditional Arabic"/>
          <w:sz w:val="28"/>
          <w:szCs w:val="28"/>
          <w:rtl/>
        </w:rPr>
        <w:t>؟ وهل تحقق القاضي من خلو المحضر من الاجتزاء أو التحوير أو التأويل؟ والجواب أن المحكمة لم تطّلع على التسجيل أصلاً، بل اكتفت بمحضر ضبط أحادي المصدر، لم يخضع لأي تحقق فني، ولم يُحال إلى خبير تقني، ولم يُعرض أمام أطراف الدعوى، مما يُضعف حجيته، ويجعله – من حيث الأثر – لا يرقى إلى درجة البينة. وحيث إن ما لا يُعرض لا يُعتمد، وما لا يخضع لرقابة المحكمة لا يرقى إلى مرتبة الدليل، وما يقرّ الخصم بوجوده ثم يتخلف عن تقديمه، فهو مردود عليه، ويُعد قرينة نفي معتبرة لصالح المتهم، لا سيما إذا أُقيم عليه حكم بالإدانة في جريمة تمس العرض والكرامة</w:t>
      </w:r>
      <w:r w:rsidR="00B75D0B" w:rsidRPr="009B75C1">
        <w:rPr>
          <w:rFonts w:ascii="Traditional Arabic" w:hAnsi="Traditional Arabic" w:cs="Traditional Arabic"/>
          <w:sz w:val="28"/>
          <w:szCs w:val="28"/>
        </w:rPr>
        <w:t>.</w:t>
      </w:r>
    </w:p>
    <w:p w14:paraId="7F7A8845" w14:textId="77777777" w:rsidR="00A42FC5" w:rsidRDefault="00A42FC5" w:rsidP="00A42FC5">
      <w:pPr>
        <w:numPr>
          <w:ilvl w:val="0"/>
          <w:numId w:val="10"/>
        </w:numPr>
        <w:tabs>
          <w:tab w:val="left" w:pos="1152"/>
        </w:tabs>
        <w:bidi/>
        <w:jc w:val="both"/>
        <w:rPr>
          <w:rFonts w:ascii="Traditional Arabic" w:hAnsi="Traditional Arabic" w:cs="Traditional Arabic"/>
          <w:sz w:val="28"/>
          <w:szCs w:val="28"/>
        </w:rPr>
      </w:pPr>
      <w:r w:rsidRPr="00A42FC5">
        <w:rPr>
          <w:rFonts w:ascii="Traditional Arabic" w:hAnsi="Traditional Arabic" w:cs="Traditional Arabic"/>
          <w:sz w:val="28"/>
          <w:szCs w:val="28"/>
          <w:rtl/>
        </w:rPr>
        <w:t>أما الواقعة الثانية، وهي عبارة "حبيبتي" المنسوبة إلى موكلي، والتي استندت إليها المحكمة في توصيف فعل التحرش اللفظي بالمدعية/ مرام، فقد استُخرجت من تسجيل صوتي ومحادثة نصية عبر وسيلة تقنية، قدمتهما المدعية، دون أن يُعرض أيٌّ منهما على خبير تقني مختص، أو يُثبت مصدرهما الزمني، أو يُتحقق من نسبتهما بشكل يقيني، مع أن موكلي أنكرها صراحة، وطعن في مصدرها وصيغتها ومحتواها</w:t>
      </w:r>
      <w:r w:rsidRPr="00A42FC5">
        <w:rPr>
          <w:rFonts w:ascii="Traditional Arabic" w:hAnsi="Traditional Arabic" w:cs="Traditional Arabic"/>
          <w:sz w:val="28"/>
          <w:szCs w:val="28"/>
        </w:rPr>
        <w:t>.</w:t>
      </w:r>
      <w:r w:rsidRPr="00A42FC5">
        <w:rPr>
          <w:rFonts w:ascii="Times New Roman" w:eastAsia="Times New Roman" w:hAnsi="Times New Roman" w:cs="Times New Roman"/>
          <w:sz w:val="24"/>
          <w:szCs w:val="24"/>
          <w:rtl/>
        </w:rPr>
        <w:t xml:space="preserve"> </w:t>
      </w:r>
      <w:r w:rsidRPr="00A42FC5">
        <w:rPr>
          <w:rFonts w:ascii="Traditional Arabic" w:hAnsi="Traditional Arabic" w:cs="Traditional Arabic"/>
          <w:sz w:val="28"/>
          <w:szCs w:val="28"/>
          <w:rtl/>
        </w:rPr>
        <w:t xml:space="preserve">وقد اكتفت المحكمة بالإشارة إلى ورود هذه العبارة في أكثر من موضع من التسجيل، دون أن تُحدّد تاريخها أو تُبيّن سياقها الكامل، ولا حالتها الوظيفية، ولا ما إذا كانت موجهة إلى المدعية أو إلى طرف ثالث، أو حتى ما إذا كانت العبارة قائمة في ذاتها أم مجتزأة من نص أطول يُغيّر دلالتها. كما أن المحكمة لم تتحقق من </w:t>
      </w:r>
      <w:r w:rsidRPr="00A42FC5">
        <w:rPr>
          <w:rFonts w:ascii="Traditional Arabic" w:hAnsi="Traditional Arabic" w:cs="Traditional Arabic"/>
          <w:sz w:val="28"/>
          <w:szCs w:val="28"/>
          <w:rtl/>
        </w:rPr>
        <w:lastRenderedPageBreak/>
        <w:t>سلامة الصوت، أو نسبته بيقين إلى موكلي، ولم تستبعد احتمال التلاعب بالمحتوى أو اجتزائه</w:t>
      </w:r>
      <w:r w:rsidRPr="00A42FC5">
        <w:rPr>
          <w:rFonts w:ascii="Traditional Arabic" w:hAnsi="Traditional Arabic" w:cs="Traditional Arabic"/>
          <w:sz w:val="28"/>
          <w:szCs w:val="28"/>
        </w:rPr>
        <w:t>.</w:t>
      </w:r>
      <w:r w:rsidRPr="00A42FC5">
        <w:rPr>
          <w:rFonts w:ascii="Times New Roman" w:eastAsia="Times New Roman" w:hAnsi="Times New Roman" w:cs="Times New Roman"/>
          <w:sz w:val="24"/>
          <w:szCs w:val="24"/>
          <w:rtl/>
        </w:rPr>
        <w:t xml:space="preserve"> </w:t>
      </w:r>
      <w:r w:rsidRPr="00A42FC5">
        <w:rPr>
          <w:rFonts w:ascii="Traditional Arabic" w:hAnsi="Traditional Arabic" w:cs="Traditional Arabic"/>
          <w:sz w:val="28"/>
          <w:szCs w:val="28"/>
          <w:rtl/>
        </w:rPr>
        <w:t xml:space="preserve">بل إن الأظهر من ذلك، أن هذه العبارة وردت ضمن تسجيلات منقولة من هواتف المدعيات أنفسهن، دون تحقق </w:t>
      </w:r>
      <w:r w:rsidRPr="00A42FC5">
        <w:rPr>
          <w:rFonts w:ascii="Traditional Arabic" w:hAnsi="Traditional Arabic" w:cs="Traditional Arabic" w:hint="cs"/>
          <w:sz w:val="28"/>
          <w:szCs w:val="28"/>
          <w:rtl/>
        </w:rPr>
        <w:t>سابق على الحكم</w:t>
      </w:r>
      <w:r w:rsidRPr="00A42FC5">
        <w:rPr>
          <w:rFonts w:ascii="Traditional Arabic" w:hAnsi="Traditional Arabic" w:cs="Traditional Arabic"/>
          <w:sz w:val="28"/>
          <w:szCs w:val="28"/>
          <w:rtl/>
        </w:rPr>
        <w:t>، ودون أن تُعرض على خبير يوضّح طبيعة التسجيل، أو يُثبت تاريخ إرساله، أو يؤكد خلوه من التعديل أو التركيب أو المونتاج</w:t>
      </w:r>
      <w:r w:rsidRPr="00A42FC5">
        <w:rPr>
          <w:rFonts w:ascii="Traditional Arabic" w:hAnsi="Traditional Arabic" w:cs="Traditional Arabic"/>
          <w:sz w:val="28"/>
          <w:szCs w:val="28"/>
        </w:rPr>
        <w:t>.</w:t>
      </w:r>
      <w:r w:rsidRPr="00A42FC5">
        <w:rPr>
          <w:rFonts w:ascii="Traditional Arabic" w:hAnsi="Traditional Arabic" w:cs="Traditional Arabic" w:hint="cs"/>
          <w:sz w:val="28"/>
          <w:szCs w:val="28"/>
          <w:rtl/>
        </w:rPr>
        <w:t xml:space="preserve"> </w:t>
      </w:r>
      <w:r w:rsidR="006855D9" w:rsidRPr="00A42FC5">
        <w:rPr>
          <w:rFonts w:ascii="Traditional Arabic" w:hAnsi="Traditional Arabic" w:cs="Traditional Arabic"/>
          <w:b/>
          <w:bCs/>
          <w:sz w:val="28"/>
          <w:szCs w:val="28"/>
          <w:rtl/>
        </w:rPr>
        <w:t>ومن المقرر نظامًا أن كل وسيلة تقنية من وسائل الإثبات لا يُعتد بها ما لم تكن</w:t>
      </w:r>
      <w:r w:rsidR="006855D9" w:rsidRPr="00A42FC5">
        <w:rPr>
          <w:rFonts w:ascii="Traditional Arabic" w:hAnsi="Traditional Arabic" w:cs="Traditional Arabic"/>
          <w:b/>
          <w:bCs/>
          <w:sz w:val="28"/>
          <w:szCs w:val="28"/>
        </w:rPr>
        <w:t>:</w:t>
      </w:r>
      <w:r w:rsidR="00B75D0B" w:rsidRPr="00A42FC5">
        <w:rPr>
          <w:rFonts w:ascii="Traditional Arabic" w:hAnsi="Traditional Arabic" w:cs="Traditional Arabic" w:hint="cs"/>
          <w:sz w:val="28"/>
          <w:szCs w:val="28"/>
          <w:rtl/>
        </w:rPr>
        <w:t xml:space="preserve"> (</w:t>
      </w:r>
      <w:r w:rsidR="006855D9" w:rsidRPr="00A42FC5">
        <w:rPr>
          <w:rFonts w:ascii="Traditional Arabic" w:hAnsi="Traditional Arabic" w:cs="Traditional Arabic"/>
          <w:sz w:val="28"/>
          <w:szCs w:val="28"/>
          <w:rtl/>
        </w:rPr>
        <w:t>موثقة المصدر</w:t>
      </w:r>
      <w:r w:rsidR="00B75D0B" w:rsidRPr="00A42FC5">
        <w:rPr>
          <w:rFonts w:ascii="Traditional Arabic" w:hAnsi="Traditional Arabic" w:cs="Traditional Arabic" w:hint="cs"/>
          <w:sz w:val="28"/>
          <w:szCs w:val="28"/>
          <w:rtl/>
        </w:rPr>
        <w:t xml:space="preserve"> - </w:t>
      </w:r>
      <w:r w:rsidR="006855D9" w:rsidRPr="00A42FC5">
        <w:rPr>
          <w:rFonts w:ascii="Traditional Arabic" w:hAnsi="Traditional Arabic" w:cs="Traditional Arabic"/>
          <w:sz w:val="28"/>
          <w:szCs w:val="28"/>
          <w:rtl/>
        </w:rPr>
        <w:t>ثابتة النسبة إلى صاحبها يقينًا</w:t>
      </w:r>
      <w:r w:rsidR="00B75D0B" w:rsidRPr="00A42FC5">
        <w:rPr>
          <w:rFonts w:ascii="Traditional Arabic" w:hAnsi="Traditional Arabic" w:cs="Traditional Arabic"/>
          <w:sz w:val="28"/>
          <w:szCs w:val="28"/>
        </w:rPr>
        <w:t xml:space="preserve"> - </w:t>
      </w:r>
      <w:r w:rsidR="006855D9" w:rsidRPr="00A42FC5">
        <w:rPr>
          <w:rFonts w:ascii="Traditional Arabic" w:hAnsi="Traditional Arabic" w:cs="Traditional Arabic"/>
          <w:sz w:val="28"/>
          <w:szCs w:val="28"/>
          <w:rtl/>
        </w:rPr>
        <w:t>صادرة في زمان معلوم</w:t>
      </w:r>
      <w:r w:rsidR="00B75D0B" w:rsidRPr="00A42FC5">
        <w:rPr>
          <w:rFonts w:ascii="Traditional Arabic" w:hAnsi="Traditional Arabic" w:cs="Traditional Arabic"/>
          <w:sz w:val="28"/>
          <w:szCs w:val="28"/>
        </w:rPr>
        <w:t xml:space="preserve"> - </w:t>
      </w:r>
      <w:r w:rsidR="006855D9" w:rsidRPr="00A42FC5">
        <w:rPr>
          <w:rFonts w:ascii="Traditional Arabic" w:hAnsi="Traditional Arabic" w:cs="Traditional Arabic"/>
          <w:sz w:val="28"/>
          <w:szCs w:val="28"/>
          <w:rtl/>
        </w:rPr>
        <w:t>سالمة من التعديل أو الاجتزاء</w:t>
      </w:r>
      <w:r w:rsidR="00B75D0B" w:rsidRPr="00A42FC5">
        <w:rPr>
          <w:rFonts w:ascii="Traditional Arabic" w:hAnsi="Traditional Arabic" w:cs="Traditional Arabic"/>
          <w:sz w:val="28"/>
          <w:szCs w:val="28"/>
        </w:rPr>
        <w:t>(</w:t>
      </w:r>
      <w:r w:rsidR="00B75D0B" w:rsidRPr="00A42FC5">
        <w:rPr>
          <w:rFonts w:ascii="Traditional Arabic" w:hAnsi="Traditional Arabic" w:cs="Traditional Arabic" w:hint="cs"/>
          <w:sz w:val="28"/>
          <w:szCs w:val="28"/>
          <w:rtl/>
        </w:rPr>
        <w:t xml:space="preserve"> </w:t>
      </w:r>
      <w:r w:rsidRPr="00A42FC5">
        <w:rPr>
          <w:rFonts w:ascii="Traditional Arabic" w:hAnsi="Traditional Arabic" w:cs="Traditional Arabic"/>
          <w:b/>
          <w:bCs/>
          <w:sz w:val="28"/>
          <w:szCs w:val="28"/>
          <w:rtl/>
        </w:rPr>
        <w:t>فإذا اختلّ أحد هذه الشروط، سقطت الوسيلة عن مرتبة البينة، وانحدرت إلى الظن، والظن لا يُبنى عليه تجريم ولا تُقام به عقوبة</w:t>
      </w:r>
      <w:r w:rsidRPr="00A42FC5">
        <w:rPr>
          <w:rFonts w:ascii="Traditional Arabic" w:hAnsi="Traditional Arabic" w:cs="Traditional Arabic"/>
          <w:b/>
          <w:bCs/>
          <w:sz w:val="28"/>
          <w:szCs w:val="28"/>
        </w:rPr>
        <w:t>.</w:t>
      </w:r>
      <w:r w:rsidRPr="00A42FC5">
        <w:rPr>
          <w:rFonts w:ascii="Traditional Arabic" w:hAnsi="Traditional Arabic" w:cs="Traditional Arabic"/>
          <w:sz w:val="28"/>
          <w:szCs w:val="28"/>
        </w:rPr>
        <w:t xml:space="preserve"> </w:t>
      </w:r>
      <w:r w:rsidRPr="00A42FC5">
        <w:rPr>
          <w:rFonts w:ascii="Traditional Arabic" w:hAnsi="Traditional Arabic" w:cs="Traditional Arabic" w:hint="cs"/>
          <w:b/>
          <w:bCs/>
          <w:sz w:val="28"/>
          <w:szCs w:val="28"/>
          <w:rtl/>
        </w:rPr>
        <w:t xml:space="preserve"> </w:t>
      </w:r>
      <w:r w:rsidRPr="00A42FC5">
        <w:rPr>
          <w:rFonts w:ascii="Traditional Arabic" w:hAnsi="Traditional Arabic" w:cs="Traditional Arabic"/>
          <w:b/>
          <w:bCs/>
          <w:sz w:val="28"/>
          <w:szCs w:val="28"/>
          <w:rtl/>
        </w:rPr>
        <w:t>وحيث إن المحكمة لم تتحقق من هذه المتطلبات، ولم تعرض التسجيل للتحليل الفني، ولا واجهت موكلي بتفريغ رسمي من جهة مختصة، فإن اعتمادها على هذه العبارة – مجردة عن قرائن السياق والتثبت والنسبة – يُعد خللًا بيّنًا في حجية الدليل، وقصورًا ظاهرًا في التسبيب، ومخالفةً للمقتضى الشرعي في درء التعزير بالشبهة، وتفسير الشك لمصلحة المتهم، خاصة في جريمة تُمس فيها حرمة اللفظ وشرف الوظيفة</w:t>
      </w:r>
      <w:r w:rsidRPr="00A42FC5">
        <w:rPr>
          <w:rFonts w:ascii="Traditional Arabic" w:hAnsi="Traditional Arabic" w:cs="Traditional Arabic"/>
          <w:b/>
          <w:bCs/>
          <w:sz w:val="28"/>
          <w:szCs w:val="28"/>
        </w:rPr>
        <w:t>.</w:t>
      </w:r>
    </w:p>
    <w:p w14:paraId="2E88C151" w14:textId="1974EBFB" w:rsidR="004F2B66" w:rsidRPr="00C4337B" w:rsidRDefault="00A42FC5" w:rsidP="00C4337B">
      <w:pPr>
        <w:numPr>
          <w:ilvl w:val="0"/>
          <w:numId w:val="10"/>
        </w:numPr>
        <w:tabs>
          <w:tab w:val="left" w:pos="1152"/>
        </w:tabs>
        <w:bidi/>
        <w:jc w:val="both"/>
        <w:rPr>
          <w:rFonts w:ascii="Traditional Arabic" w:hAnsi="Traditional Arabic" w:cs="Traditional Arabic"/>
          <w:sz w:val="28"/>
          <w:szCs w:val="28"/>
          <w:rtl/>
        </w:rPr>
      </w:pPr>
      <w:r>
        <w:rPr>
          <w:rFonts w:ascii="Traditional Arabic" w:hAnsi="Traditional Arabic" w:cs="Traditional Arabic" w:hint="cs"/>
          <w:sz w:val="28"/>
          <w:szCs w:val="28"/>
          <w:rtl/>
        </w:rPr>
        <w:t xml:space="preserve">وعلى الرغم من أن المحكمة </w:t>
      </w:r>
      <w:r w:rsidRPr="00A42FC5">
        <w:rPr>
          <w:rFonts w:ascii="Traditional Arabic" w:hAnsi="Traditional Arabic" w:cs="Traditional Arabic"/>
          <w:sz w:val="28"/>
          <w:szCs w:val="28"/>
          <w:rtl/>
        </w:rPr>
        <w:t>استبعدت سائر الوقائع الأشد– كواقعة التقبيل، ولمس الفخذ، والإشارات الخادشة – لعدم ثبوتها،</w:t>
      </w:r>
      <w:r w:rsidR="009B75C1" w:rsidRPr="009B75C1">
        <w:rPr>
          <w:rtl/>
        </w:rPr>
        <w:t xml:space="preserve"> </w:t>
      </w:r>
      <w:r w:rsidR="009B75C1" w:rsidRPr="009B75C1">
        <w:rPr>
          <w:rFonts w:ascii="Traditional Arabic" w:hAnsi="Traditional Arabic" w:cs="Traditional Arabic"/>
          <w:sz w:val="28"/>
          <w:szCs w:val="28"/>
          <w:rtl/>
        </w:rPr>
        <w:t>وبقيت أمام واقعتين محاطتين بالاحتمال، فإن الحكم بناءً عليهما يبقى مجروحًا في حجيته، قاصرًا في تسبيبه، غير كافٍ لإثبات الجريمة وفق المقتضى الشرعي والنظامي</w:t>
      </w:r>
      <w:r w:rsidR="009B75C1" w:rsidRPr="009B75C1">
        <w:rPr>
          <w:rFonts w:ascii="Traditional Arabic" w:hAnsi="Traditional Arabic" w:cs="Traditional Arabic"/>
          <w:sz w:val="28"/>
          <w:szCs w:val="28"/>
        </w:rPr>
        <w:t>.</w:t>
      </w:r>
      <w:r w:rsidR="009B75C1">
        <w:rPr>
          <w:rFonts w:ascii="Traditional Arabic" w:hAnsi="Traditional Arabic" w:cs="Traditional Arabic" w:hint="cs"/>
          <w:sz w:val="28"/>
          <w:szCs w:val="28"/>
          <w:rtl/>
        </w:rPr>
        <w:t xml:space="preserve"> </w:t>
      </w:r>
      <w:r w:rsidRPr="009B75C1">
        <w:rPr>
          <w:rFonts w:ascii="Traditional Arabic" w:hAnsi="Traditional Arabic" w:cs="Traditional Arabic"/>
          <w:sz w:val="28"/>
          <w:szCs w:val="28"/>
          <w:rtl/>
        </w:rPr>
        <w:t>وقد استقر الفقه والقضاء على أن: "القرائن إذا احتملت التأويل لم تصلح وحدها لإثبات الجريمة"، وأن: "الأصل في الإنسان البراءة، ولا تُمس حريته إلا ببينة قاطعة خالية من الشبهة</w:t>
      </w:r>
      <w:r w:rsidRPr="009B75C1">
        <w:rPr>
          <w:rFonts w:ascii="Traditional Arabic" w:hAnsi="Traditional Arabic" w:cs="Traditional Arabic"/>
          <w:sz w:val="28"/>
          <w:szCs w:val="28"/>
        </w:rPr>
        <w:t>."</w:t>
      </w:r>
      <w:r w:rsidR="009B75C1">
        <w:rPr>
          <w:rFonts w:ascii="Traditional Arabic" w:hAnsi="Traditional Arabic" w:cs="Traditional Arabic" w:hint="cs"/>
          <w:sz w:val="28"/>
          <w:szCs w:val="28"/>
          <w:rtl/>
        </w:rPr>
        <w:t xml:space="preserve"> </w:t>
      </w:r>
      <w:r w:rsidRPr="009B75C1">
        <w:rPr>
          <w:rFonts w:ascii="Traditional Arabic" w:hAnsi="Traditional Arabic" w:cs="Traditional Arabic"/>
          <w:sz w:val="28"/>
          <w:szCs w:val="28"/>
          <w:rtl/>
        </w:rPr>
        <w:t>وعليه، فإن ما بُني عليه الحكم يبقى مجروحًا في حجيته، قاصرًا في تسبيبه، غير كافٍ لتأسيس إدانة معتبرة بنظام أو شرع، لا سيما في جريمة تستدعي تحقّقًا زائدًا، وتحتاط فيها الأنظمة والجهات القضائية درءًا لانتهاك الحرمات وهدر السمعة</w:t>
      </w:r>
      <w:r w:rsidRPr="009B75C1">
        <w:rPr>
          <w:rFonts w:ascii="Traditional Arabic" w:hAnsi="Traditional Arabic" w:cs="Traditional Arabic"/>
          <w:sz w:val="28"/>
          <w:szCs w:val="28"/>
        </w:rPr>
        <w:t>.</w:t>
      </w:r>
    </w:p>
    <w:p w14:paraId="5EC0F485" w14:textId="77777777" w:rsidR="008F4C22" w:rsidRPr="008F4C22" w:rsidRDefault="004F2B66" w:rsidP="008F4C22">
      <w:pPr>
        <w:tabs>
          <w:tab w:val="left" w:pos="1152"/>
        </w:tabs>
        <w:bidi/>
        <w:rPr>
          <w:rFonts w:ascii="Traditional Arabic" w:hAnsi="Traditional Arabic" w:cs="Traditional Arabic"/>
          <w:b/>
          <w:bCs/>
          <w:sz w:val="28"/>
          <w:szCs w:val="28"/>
          <w:u w:val="single"/>
        </w:rPr>
      </w:pPr>
      <w:r w:rsidRPr="004F2B66">
        <w:rPr>
          <w:rFonts w:ascii="Traditional Arabic" w:hAnsi="Traditional Arabic" w:cs="Traditional Arabic"/>
          <w:b/>
          <w:bCs/>
          <w:sz w:val="28"/>
          <w:szCs w:val="28"/>
          <w:u w:val="single"/>
          <w:rtl/>
        </w:rPr>
        <w:t xml:space="preserve">السبب: </w:t>
      </w:r>
      <w:r w:rsidR="008F4C22" w:rsidRPr="008F4C22">
        <w:rPr>
          <w:rFonts w:ascii="Traditional Arabic" w:hAnsi="Traditional Arabic" w:cs="Traditional Arabic"/>
          <w:b/>
          <w:bCs/>
          <w:sz w:val="28"/>
          <w:szCs w:val="28"/>
          <w:u w:val="single"/>
          <w:rtl/>
        </w:rPr>
        <w:t>الوجه الثاني: غياب الركن المعنوي (القصد الجنسي) في الواقعتين محل الإدانة، وهو ما يُسقط عن الفعل وصف الجريمة النظامية</w:t>
      </w:r>
    </w:p>
    <w:p w14:paraId="758769ED" w14:textId="2F4D8994" w:rsidR="008F4C22" w:rsidRPr="008329FE" w:rsidRDefault="008F4C22" w:rsidP="008F4C22">
      <w:pPr>
        <w:pStyle w:val="ListParagraph"/>
        <w:numPr>
          <w:ilvl w:val="0"/>
          <w:numId w:val="23"/>
        </w:numPr>
        <w:tabs>
          <w:tab w:val="left" w:pos="1152"/>
        </w:tabs>
        <w:bidi/>
        <w:jc w:val="both"/>
        <w:rPr>
          <w:rFonts w:ascii="Traditional Arabic" w:hAnsi="Traditional Arabic" w:cs="Traditional Arabic"/>
          <w:sz w:val="28"/>
          <w:szCs w:val="28"/>
        </w:rPr>
      </w:pPr>
      <w:r w:rsidRPr="008329FE">
        <w:rPr>
          <w:rFonts w:ascii="Traditional Arabic" w:hAnsi="Traditional Arabic" w:cs="Traditional Arabic"/>
          <w:sz w:val="28"/>
          <w:szCs w:val="28"/>
        </w:rPr>
        <w:t xml:space="preserve"> </w:t>
      </w:r>
      <w:r w:rsidRPr="008329FE">
        <w:rPr>
          <w:rFonts w:ascii="Traditional Arabic" w:hAnsi="Traditional Arabic" w:cs="Traditional Arabic"/>
          <w:b/>
          <w:bCs/>
          <w:sz w:val="28"/>
          <w:szCs w:val="28"/>
          <w:rtl/>
        </w:rPr>
        <w:t>إن جريمة التحرش – بحسب ما قررته المادة الأولى من نظام مكافحة جريمة التحرش – لا تقوم إلا إذا اقترن الفعل الظاهر بقصد جنسيٍ باطنٍ واضح، يتمثل في إرادة واعية تتجه إلى الإغواء أو الإثارة أو التعدي على حياء المجني عليه</w:t>
      </w:r>
      <w:r w:rsidRPr="008329FE">
        <w:rPr>
          <w:rFonts w:ascii="Traditional Arabic" w:hAnsi="Traditional Arabic" w:cs="Traditional Arabic"/>
          <w:b/>
          <w:bCs/>
          <w:sz w:val="28"/>
          <w:szCs w:val="28"/>
        </w:rPr>
        <w:t>.</w:t>
      </w:r>
      <w:r w:rsidR="008329FE">
        <w:rPr>
          <w:rFonts w:ascii="Traditional Arabic" w:hAnsi="Traditional Arabic" w:cs="Traditional Arabic" w:hint="cs"/>
          <w:sz w:val="28"/>
          <w:szCs w:val="28"/>
          <w:rtl/>
        </w:rPr>
        <w:t xml:space="preserve"> </w:t>
      </w:r>
      <w:r w:rsidRPr="008329FE">
        <w:rPr>
          <w:rFonts w:ascii="Traditional Arabic" w:hAnsi="Traditional Arabic" w:cs="Traditional Arabic"/>
          <w:sz w:val="28"/>
          <w:szCs w:val="28"/>
          <w:rtl/>
        </w:rPr>
        <w:t>وقد نصت المادة المذكورة على أن</w:t>
      </w:r>
      <w:r w:rsidRPr="008329FE">
        <w:rPr>
          <w:rFonts w:ascii="Traditional Arabic" w:hAnsi="Traditional Arabic" w:cs="Traditional Arabic"/>
          <w:sz w:val="28"/>
          <w:szCs w:val="28"/>
        </w:rPr>
        <w:t>:</w:t>
      </w:r>
      <w:r w:rsidRPr="008329FE">
        <w:rPr>
          <w:rFonts w:ascii="Traditional Arabic" w:hAnsi="Traditional Arabic" w:cs="Traditional Arabic"/>
          <w:sz w:val="28"/>
          <w:szCs w:val="28"/>
        </w:rPr>
        <w:br/>
        <w:t>"</w:t>
      </w:r>
      <w:r w:rsidRPr="008329FE">
        <w:rPr>
          <w:rFonts w:ascii="Traditional Arabic" w:hAnsi="Traditional Arabic" w:cs="Traditional Arabic"/>
          <w:sz w:val="28"/>
          <w:szCs w:val="28"/>
          <w:rtl/>
        </w:rPr>
        <w:t>يقصد بجريمة التحرش لغرض تطبيق أحكام هذا النظام: كل قول أو فعل أو إشارة ذات مدلول جنسي، تصدر من شخص تجاه أي شخص آخر،تمس جسده، أو تخدش حياءه، بأي وسيلة كانت</w:t>
      </w:r>
      <w:r w:rsidRPr="008329FE">
        <w:rPr>
          <w:rFonts w:ascii="Traditional Arabic" w:hAnsi="Traditional Arabic" w:cs="Traditional Arabic"/>
          <w:sz w:val="28"/>
          <w:szCs w:val="28"/>
        </w:rPr>
        <w:t>..."</w:t>
      </w:r>
      <w:r w:rsidRPr="008329FE">
        <w:rPr>
          <w:rFonts w:ascii="Traditional Arabic" w:hAnsi="Traditional Arabic" w:cs="Traditional Arabic"/>
          <w:sz w:val="28"/>
          <w:szCs w:val="28"/>
          <w:rtl/>
        </w:rPr>
        <w:t>والمفهوم من هذا التعريف النظامي – وهو نصٌ منشئ للركن المعنوي – أن القول أو الفعل لا يكون مجرّمًا إلا متى كان صريح الدلالة الجنسية، أو مشفوعًا بقصدٍ جنسيٍ محرَّم، أما إن خلا من هذا القصد، أو كان محتملًا بين أكثر من تفسير، أو صدر في سياق عارض، فليس من شأنه أن ينهض بذاته وصفًا معاقبًا عليه</w:t>
      </w:r>
      <w:r w:rsidRPr="008329FE">
        <w:rPr>
          <w:rFonts w:ascii="Traditional Arabic" w:hAnsi="Traditional Arabic" w:cs="Traditional Arabic"/>
          <w:sz w:val="28"/>
          <w:szCs w:val="28"/>
        </w:rPr>
        <w:t>.</w:t>
      </w:r>
    </w:p>
    <w:p w14:paraId="781E85EA" w14:textId="77777777" w:rsidR="008F4C22" w:rsidRDefault="008F4C22" w:rsidP="008F4C22">
      <w:pPr>
        <w:pStyle w:val="ListParagraph"/>
        <w:numPr>
          <w:ilvl w:val="0"/>
          <w:numId w:val="23"/>
        </w:numPr>
        <w:tabs>
          <w:tab w:val="left" w:pos="1152"/>
        </w:tabs>
        <w:bidi/>
        <w:jc w:val="both"/>
        <w:rPr>
          <w:rFonts w:ascii="Traditional Arabic" w:hAnsi="Traditional Arabic" w:cs="Traditional Arabic"/>
          <w:sz w:val="28"/>
          <w:szCs w:val="28"/>
        </w:rPr>
      </w:pPr>
      <w:r w:rsidRPr="008F4C22">
        <w:rPr>
          <w:rFonts w:ascii="Traditional Arabic" w:hAnsi="Traditional Arabic" w:cs="Traditional Arabic"/>
          <w:sz w:val="28"/>
          <w:szCs w:val="28"/>
          <w:rtl/>
        </w:rPr>
        <w:t>من المبادئ القضائية المستقرة أن العبرة في الجرائم التعزيرية ليست بالفعل وحده، وإنما بالقصد الذي يلازمه، فإذا انتفى القصد، أو لم يُثبت بيقين، انتفت الجريمة.</w:t>
      </w:r>
      <w:r>
        <w:rPr>
          <w:rFonts w:ascii="Traditional Arabic" w:hAnsi="Traditional Arabic" w:cs="Traditional Arabic" w:hint="cs"/>
          <w:sz w:val="28"/>
          <w:szCs w:val="28"/>
          <w:rtl/>
        </w:rPr>
        <w:t xml:space="preserve"> </w:t>
      </w:r>
      <w:r w:rsidRPr="008F4C22">
        <w:rPr>
          <w:rFonts w:ascii="Traditional Arabic" w:hAnsi="Traditional Arabic" w:cs="Traditional Arabic"/>
          <w:sz w:val="28"/>
          <w:szCs w:val="28"/>
          <w:rtl/>
        </w:rPr>
        <w:t>وقد جاء في القرار التفسيري للمحكمة العليا رقم (38/هـ) ما يفيد بأن القرائن الظرفية يجب أن تبلغ درجة كافية من القوة لتكوين "قناعة المحكمة بارتكاب الجريمة"، وأن مجرد القول أو الفعل لا يكفي إذا لم يقترن بإرادة جنسية واضحة.</w:t>
      </w:r>
      <w:r>
        <w:rPr>
          <w:rFonts w:ascii="Traditional Arabic" w:hAnsi="Traditional Arabic" w:cs="Traditional Arabic" w:hint="cs"/>
          <w:sz w:val="28"/>
          <w:szCs w:val="28"/>
          <w:rtl/>
        </w:rPr>
        <w:t xml:space="preserve"> </w:t>
      </w:r>
      <w:r w:rsidRPr="008F4C22">
        <w:rPr>
          <w:rFonts w:ascii="Traditional Arabic" w:hAnsi="Traditional Arabic" w:cs="Traditional Arabic"/>
          <w:sz w:val="28"/>
          <w:szCs w:val="28"/>
          <w:rtl/>
        </w:rPr>
        <w:t>وهاهنا، لم تُثبت النيابة العامة – ولا المحكمة – أن موكلي تعمّد الإتيان بفعل ذي دلالة جنسية، أو أن المدعية تأذت منه على هذا النحو، بل لا يُعلم إن كانت لمسة الكتف مقصودة أو عفوية، ولا إن كان اللفظ موجهًا إلى المدعية، أو ورد في سياق عام، أو أُجتزئ من كلام أوسع غيّر معناه.</w:t>
      </w:r>
    </w:p>
    <w:p w14:paraId="7C75488B" w14:textId="77777777" w:rsidR="00FE2FCF" w:rsidRDefault="008F4C22" w:rsidP="00FE2FCF">
      <w:pPr>
        <w:pStyle w:val="ListParagraph"/>
        <w:numPr>
          <w:ilvl w:val="0"/>
          <w:numId w:val="23"/>
        </w:numPr>
        <w:tabs>
          <w:tab w:val="left" w:pos="1152"/>
        </w:tabs>
        <w:bidi/>
        <w:jc w:val="both"/>
        <w:rPr>
          <w:rFonts w:ascii="Traditional Arabic" w:hAnsi="Traditional Arabic" w:cs="Traditional Arabic"/>
          <w:sz w:val="28"/>
          <w:szCs w:val="28"/>
        </w:rPr>
      </w:pPr>
      <w:r w:rsidRPr="008F4C22">
        <w:rPr>
          <w:rFonts w:ascii="Traditional Arabic" w:hAnsi="Traditional Arabic" w:cs="Traditional Arabic"/>
          <w:sz w:val="28"/>
          <w:szCs w:val="28"/>
          <w:rtl/>
        </w:rPr>
        <w:lastRenderedPageBreak/>
        <w:t>الركن المعنوي في الجريمة – أي القصد – هو ما يُميز الفعل المعاقب عليه عن غيره من الأفعال المجردة، ولا يُتصور في نظام أو شرع أن يُجرّم فعلٌ ظاهري بمجرده دون تحققٍ من نية مُجرِّمه</w:t>
      </w:r>
      <w:r w:rsidRPr="008F4C22">
        <w:rPr>
          <w:rFonts w:ascii="Traditional Arabic" w:hAnsi="Traditional Arabic" w:cs="Traditional Arabic"/>
          <w:sz w:val="28"/>
          <w:szCs w:val="28"/>
        </w:rPr>
        <w:t>.</w:t>
      </w:r>
      <w:r w:rsidRPr="008F4C22">
        <w:rPr>
          <w:rFonts w:ascii="Traditional Arabic" w:hAnsi="Traditional Arabic" w:cs="Traditional Arabic"/>
          <w:sz w:val="28"/>
          <w:szCs w:val="28"/>
          <w:rtl/>
        </w:rPr>
        <w:t xml:space="preserve"> ولهذا فإن القاعدة الأصولية المقررة تقضي بأن: "الأحكام تدور مع عللها وجودًا وعدمًا"، وأنه "إذا اختل أحد أركان الجريمة، انتفى وصفها، وسقط أثرها، ولا يجوز معاقبة المرء على فعل لا يعلم أنه محرّم، أو لم يُرد به تعديًا</w:t>
      </w:r>
      <w:r w:rsidRPr="008F4C22">
        <w:rPr>
          <w:rFonts w:ascii="Traditional Arabic" w:hAnsi="Traditional Arabic" w:cs="Traditional Arabic"/>
          <w:sz w:val="28"/>
          <w:szCs w:val="28"/>
        </w:rPr>
        <w:t>".</w:t>
      </w:r>
      <w:r w:rsidRPr="008F4C22">
        <w:rPr>
          <w:rFonts w:ascii="Traditional Arabic" w:hAnsi="Traditional Arabic" w:cs="Traditional Arabic"/>
          <w:sz w:val="28"/>
          <w:szCs w:val="28"/>
          <w:rtl/>
        </w:rPr>
        <w:t>وإذ لم تقم المحكمة ببحث القصد الجنسي، ولا ناقشت دلالة الفعلين محل الإدانة من حيث نيتُهما ومقاصدهما، فإن الحكم يكون قاصرًا في تكييفه، غير مستجمع لأركان الجريمة المنصوص عليها نظامًا</w:t>
      </w:r>
      <w:r w:rsidRPr="008F4C22">
        <w:rPr>
          <w:rFonts w:ascii="Traditional Arabic" w:hAnsi="Traditional Arabic" w:cs="Traditional Arabic"/>
          <w:sz w:val="28"/>
          <w:szCs w:val="28"/>
        </w:rPr>
        <w:t>.</w:t>
      </w:r>
    </w:p>
    <w:p w14:paraId="5591410B" w14:textId="57B836CA" w:rsidR="00FE2FCF" w:rsidRPr="00FE2FCF" w:rsidRDefault="00FE2FCF" w:rsidP="00F44983">
      <w:pPr>
        <w:pStyle w:val="ListParagraph"/>
        <w:numPr>
          <w:ilvl w:val="0"/>
          <w:numId w:val="23"/>
        </w:numPr>
        <w:tabs>
          <w:tab w:val="left" w:pos="1152"/>
        </w:tabs>
        <w:bidi/>
        <w:jc w:val="both"/>
        <w:rPr>
          <w:rFonts w:ascii="Traditional Arabic" w:hAnsi="Traditional Arabic" w:cs="Traditional Arabic"/>
          <w:sz w:val="28"/>
          <w:szCs w:val="28"/>
          <w:rtl/>
        </w:rPr>
      </w:pPr>
      <w:r w:rsidRPr="00FE2FCF">
        <w:rPr>
          <w:rFonts w:ascii="Traditional Arabic" w:hAnsi="Traditional Arabic" w:cs="Traditional Arabic"/>
          <w:b/>
          <w:bCs/>
          <w:sz w:val="28"/>
          <w:szCs w:val="28"/>
          <w:rtl/>
        </w:rPr>
        <w:t>قصور المحكمة في مناقشة القصد وتكييفه</w:t>
      </w:r>
      <w:r w:rsidRPr="00FE2FCF">
        <w:rPr>
          <w:rFonts w:ascii="Traditional Arabic" w:hAnsi="Traditional Arabic" w:cs="Traditional Arabic" w:hint="cs"/>
          <w:b/>
          <w:bCs/>
          <w:sz w:val="28"/>
          <w:szCs w:val="28"/>
          <w:rtl/>
        </w:rPr>
        <w:t xml:space="preserve"> </w:t>
      </w:r>
      <w:r w:rsidRPr="00FE2FCF">
        <w:rPr>
          <w:rFonts w:ascii="Traditional Arabic" w:hAnsi="Traditional Arabic" w:cs="Traditional Arabic" w:hint="cs"/>
          <w:sz w:val="28"/>
          <w:szCs w:val="28"/>
          <w:rtl/>
        </w:rPr>
        <w:t>ف</w:t>
      </w:r>
      <w:r w:rsidRPr="00FE2FCF">
        <w:rPr>
          <w:rFonts w:ascii="Traditional Arabic" w:hAnsi="Traditional Arabic" w:cs="Traditional Arabic"/>
          <w:sz w:val="28"/>
          <w:szCs w:val="28"/>
          <w:rtl/>
        </w:rPr>
        <w:t>لم يُبيّن الحكم محل الاعتراض أي مناقشة صريحة للركن المعنوي للجريمة، ولم يُفرد له فقرة مستقلة ضمن التسبيب، ولم يُحلل نية الفاعل، أو يُعرض لقرائن تُثبت أن الفعل قد صدر بقصد جنسي لا مجرّد احتمال</w:t>
      </w:r>
      <w:r w:rsidRPr="00FE2FCF">
        <w:rPr>
          <w:rFonts w:ascii="Traditional Arabic" w:hAnsi="Traditional Arabic" w:cs="Traditional Arabic"/>
          <w:sz w:val="28"/>
          <w:szCs w:val="28"/>
        </w:rPr>
        <w:t>.</w:t>
      </w:r>
      <w:r w:rsidRPr="00FE2FCF">
        <w:rPr>
          <w:rFonts w:ascii="Traditional Arabic" w:hAnsi="Traditional Arabic" w:cs="Traditional Arabic" w:hint="cs"/>
          <w:sz w:val="28"/>
          <w:szCs w:val="28"/>
          <w:rtl/>
        </w:rPr>
        <w:t xml:space="preserve"> </w:t>
      </w:r>
      <w:r w:rsidRPr="00FE2FCF">
        <w:rPr>
          <w:rFonts w:ascii="Traditional Arabic" w:hAnsi="Traditional Arabic" w:cs="Traditional Arabic"/>
          <w:sz w:val="28"/>
          <w:szCs w:val="28"/>
          <w:rtl/>
        </w:rPr>
        <w:t>وقد اكتفى الحكم بإثبات صدور لمسة على الكتف، ولفظ "حبيبتي"، دون أن يُستظهر السياق الذي وقعت فيه الواقعتان، أو يُعالج طبيعة العلاقة بين الطرفين، أو يُفنّد طبيعة السياق المهني والوظيفي الذي يشكل إطارًا زمنيًا ومكانيًا للواقعة</w:t>
      </w:r>
      <w:r w:rsidRPr="00FE2FCF">
        <w:rPr>
          <w:rFonts w:ascii="Traditional Arabic" w:hAnsi="Traditional Arabic" w:cs="Traditional Arabic"/>
          <w:sz w:val="28"/>
          <w:szCs w:val="28"/>
        </w:rPr>
        <w:t>.</w:t>
      </w:r>
      <w:r w:rsidRPr="00FE2FCF">
        <w:rPr>
          <w:rFonts w:ascii="Traditional Arabic" w:hAnsi="Traditional Arabic" w:cs="Traditional Arabic" w:hint="cs"/>
          <w:sz w:val="28"/>
          <w:szCs w:val="28"/>
          <w:rtl/>
        </w:rPr>
        <w:t xml:space="preserve"> </w:t>
      </w:r>
      <w:r w:rsidRPr="00FE2FCF">
        <w:rPr>
          <w:rFonts w:ascii="Traditional Arabic" w:hAnsi="Traditional Arabic" w:cs="Traditional Arabic"/>
          <w:sz w:val="28"/>
          <w:szCs w:val="28"/>
          <w:rtl/>
        </w:rPr>
        <w:t>إن الركن المعنوي في الجرائم التعزيرية – وخاصة الجرائم ذات الطابع الجنسي – لا يُفترض ولا يُستنتج استنتاجًا عامًا، بل لا بد من استظهاره من قرائن واضحة تدل على توجيه الفعل لتحقيق غرض جنسي، ويكون ذلك من خلال مقارنة الظرف الزمني، والمكان، وسلوك الفاعل قبل وأثناء وبعد الفعل، وما إذا كان الفعل قد صدر خفية، أو في خلوة، أو رافقه لفظ خادش، أو صدر في غير موضع مبرر</w:t>
      </w:r>
      <w:r w:rsidRPr="00FE2FCF">
        <w:rPr>
          <w:rFonts w:ascii="Traditional Arabic" w:hAnsi="Traditional Arabic" w:cs="Traditional Arabic"/>
          <w:sz w:val="28"/>
          <w:szCs w:val="28"/>
        </w:rPr>
        <w:t>.</w:t>
      </w:r>
      <w:r w:rsidRPr="00FE2FCF">
        <w:rPr>
          <w:rFonts w:ascii="Traditional Arabic" w:hAnsi="Traditional Arabic" w:cs="Traditional Arabic"/>
          <w:sz w:val="28"/>
          <w:szCs w:val="28"/>
          <w:rtl/>
        </w:rPr>
        <w:t>أما إذا خلا الفعل من هذا السياق الدال، ووقع في بيئة مهنية، ولم يثبت اقترانه بمقصد جنسي بيّن، فإن تكييفه بوصف التحرش يكون تحميلًا للنظام ما لا يحتمل، وتجاوزًا لما يتطلبه النص من وضوح في الدلالة</w:t>
      </w:r>
      <w:r w:rsidRPr="00FE2FCF">
        <w:rPr>
          <w:rFonts w:ascii="Traditional Arabic" w:hAnsi="Traditional Arabic" w:cs="Traditional Arabic"/>
          <w:sz w:val="28"/>
          <w:szCs w:val="28"/>
        </w:rPr>
        <w:t>.</w:t>
      </w:r>
      <w:r w:rsidRPr="00FE2FCF">
        <w:rPr>
          <w:rFonts w:ascii="Traditional Arabic" w:hAnsi="Traditional Arabic" w:cs="Traditional Arabic" w:hint="cs"/>
          <w:sz w:val="28"/>
          <w:szCs w:val="28"/>
          <w:rtl/>
        </w:rPr>
        <w:t xml:space="preserve"> </w:t>
      </w:r>
      <w:r w:rsidRPr="00FE2FCF">
        <w:rPr>
          <w:rFonts w:ascii="Traditional Arabic" w:hAnsi="Traditional Arabic" w:cs="Traditional Arabic"/>
          <w:sz w:val="28"/>
          <w:szCs w:val="28"/>
          <w:rtl/>
        </w:rPr>
        <w:t>ومن المتقرر نظامًا وفق المبادئ القضائية المستقرة، أن القصد الجنائي لا يُؤخذ بالتخمين، ولا يستند إلى التكييف اللفظي للواقعة، وإنما يُستخلص من سلوك الجاني ودلالة أفعاله وسياقها، ويجب على المحكمة أن تُظهره صراحةً في الحكم، وإلا كان تسبيبها قاصرًا</w:t>
      </w:r>
      <w:r w:rsidRPr="00FE2FCF">
        <w:rPr>
          <w:rFonts w:ascii="Traditional Arabic" w:hAnsi="Traditional Arabic" w:cs="Traditional Arabic"/>
          <w:sz w:val="28"/>
          <w:szCs w:val="28"/>
        </w:rPr>
        <w:t>.</w:t>
      </w:r>
      <w:r w:rsidRPr="00FE2FCF">
        <w:rPr>
          <w:rFonts w:ascii="Traditional Arabic" w:hAnsi="Traditional Arabic" w:cs="Traditional Arabic" w:hint="cs"/>
          <w:sz w:val="28"/>
          <w:szCs w:val="28"/>
          <w:rtl/>
        </w:rPr>
        <w:t xml:space="preserve"> </w:t>
      </w:r>
      <w:r w:rsidRPr="00FE2FCF">
        <w:rPr>
          <w:rFonts w:ascii="Traditional Arabic" w:hAnsi="Traditional Arabic" w:cs="Traditional Arabic"/>
          <w:sz w:val="28"/>
          <w:szCs w:val="28"/>
          <w:rtl/>
        </w:rPr>
        <w:t>ولئن ثبت الفعل الظاهري، فإن القانون لا يكتفي بذلك، بل يشترط ثبوت الإرادة الجرمية المخصوصة، وإلا عُدّ الحكم منقوص الركن، ساقط التوصيف، مُعرّضًا للنقض</w:t>
      </w:r>
      <w:r w:rsidRPr="00FE2FCF">
        <w:rPr>
          <w:rFonts w:ascii="Traditional Arabic" w:hAnsi="Traditional Arabic" w:cs="Traditional Arabic"/>
          <w:sz w:val="28"/>
          <w:szCs w:val="28"/>
        </w:rPr>
        <w:t>.</w:t>
      </w:r>
    </w:p>
    <w:p w14:paraId="6A33DCDA" w14:textId="62AC783A" w:rsidR="008F4C22" w:rsidRPr="008F4C22" w:rsidRDefault="008F4C22" w:rsidP="008F4C22">
      <w:pPr>
        <w:bidi/>
        <w:jc w:val="both"/>
        <w:rPr>
          <w:rFonts w:ascii="Traditional Arabic" w:hAnsi="Traditional Arabic" w:cs="Traditional Arabic"/>
          <w:b/>
          <w:bCs/>
          <w:sz w:val="28"/>
          <w:szCs w:val="28"/>
        </w:rPr>
      </w:pPr>
      <w:r w:rsidRPr="008F4C22">
        <w:rPr>
          <w:rFonts w:ascii="Traditional Arabic" w:hAnsi="Traditional Arabic" w:cs="Traditional Arabic"/>
          <w:b/>
          <w:bCs/>
          <w:sz w:val="28"/>
          <w:szCs w:val="28"/>
          <w:rtl/>
        </w:rPr>
        <w:t>إن الحكم محل الاعتراض قد أغفل ركنًا جوهريًا في جريمة التحرش، وهو القصد الجنسي، وهو الركن الذي به يُعرف وجه الفعل، وتُبنى عليه مسؤوليته. وما دام لم يثبت هذا القصد، ولم يُستظهر من واقع أو نص أو تقرير فني، فإن الفعلين الموصوفين لا يُشكلان جريمة تحرش بنظر النظام، ولا يصح تجريمهما ولا ترتيب العقوبة عليهما.</w:t>
      </w:r>
      <w:r w:rsidRPr="008F4C22">
        <w:rPr>
          <w:rFonts w:ascii="Times New Roman" w:eastAsia="Times New Roman" w:hAnsi="Times New Roman" w:cs="Times New Roman"/>
          <w:b/>
          <w:bCs/>
          <w:sz w:val="24"/>
          <w:szCs w:val="24"/>
          <w:rtl/>
        </w:rPr>
        <w:t xml:space="preserve"> </w:t>
      </w:r>
      <w:r w:rsidRPr="008F4C22">
        <w:rPr>
          <w:rFonts w:ascii="Traditional Arabic" w:hAnsi="Traditional Arabic" w:cs="Traditional Arabic"/>
          <w:b/>
          <w:bCs/>
          <w:sz w:val="28"/>
          <w:szCs w:val="28"/>
          <w:rtl/>
        </w:rPr>
        <w:t>وحيث إن الحدود والتعازير تُدرأ بالشبهات، ولا تُقام إلا ببينة قاطعة، وكان الحكم لم يثبت القصد الجنسي بوجه يقيني، فإن الركن المعنوي للجريمة يكون قد فُقد، والحكم المبني عليه لا يصمد أمام المراجعة القضائية الدقيقة، فيُطلب نقضه</w:t>
      </w:r>
      <w:r w:rsidRPr="008F4C22">
        <w:rPr>
          <w:rFonts w:ascii="Traditional Arabic" w:hAnsi="Traditional Arabic" w:cs="Traditional Arabic"/>
          <w:b/>
          <w:bCs/>
          <w:sz w:val="28"/>
          <w:szCs w:val="28"/>
        </w:rPr>
        <w:t>.</w:t>
      </w:r>
    </w:p>
    <w:p w14:paraId="78554B92" w14:textId="77777777" w:rsidR="008F4C22" w:rsidRPr="008F4C22" w:rsidRDefault="008F4C22" w:rsidP="008F4C22">
      <w:pPr>
        <w:bidi/>
        <w:jc w:val="both"/>
        <w:rPr>
          <w:rFonts w:ascii="Traditional Arabic" w:hAnsi="Traditional Arabic" w:cs="Traditional Arabic"/>
          <w:b/>
          <w:bCs/>
          <w:sz w:val="28"/>
          <w:szCs w:val="28"/>
          <w:u w:val="single"/>
        </w:rPr>
      </w:pPr>
      <w:r w:rsidRPr="008F4C22">
        <w:rPr>
          <w:rFonts w:ascii="Traditional Arabic" w:hAnsi="Traditional Arabic" w:cs="Traditional Arabic"/>
          <w:b/>
          <w:bCs/>
          <w:sz w:val="28"/>
          <w:szCs w:val="28"/>
          <w:u w:val="single"/>
          <w:rtl/>
        </w:rPr>
        <w:t>الوجه الثالث: تناقض الدليل وتعدد الدوافع الشخصية، بما يُسقط حياد المدعيتين ويُضعف حجية أقوالهما</w:t>
      </w:r>
    </w:p>
    <w:p w14:paraId="7B411706" w14:textId="7D5820CD" w:rsidR="008F4C22" w:rsidRPr="008F4C22" w:rsidRDefault="008F4C22" w:rsidP="008F4C22">
      <w:pPr>
        <w:numPr>
          <w:ilvl w:val="0"/>
          <w:numId w:val="25"/>
        </w:numPr>
        <w:bidi/>
        <w:jc w:val="both"/>
        <w:rPr>
          <w:rFonts w:ascii="Traditional Arabic" w:hAnsi="Traditional Arabic" w:cs="Traditional Arabic"/>
          <w:sz w:val="28"/>
          <w:szCs w:val="28"/>
        </w:rPr>
      </w:pPr>
      <w:r w:rsidRPr="008F4C22">
        <w:rPr>
          <w:rFonts w:ascii="Traditional Arabic" w:hAnsi="Traditional Arabic" w:cs="Traditional Arabic"/>
          <w:b/>
          <w:bCs/>
          <w:sz w:val="28"/>
          <w:szCs w:val="28"/>
          <w:rtl/>
        </w:rPr>
        <w:t xml:space="preserve">أحد أركان قبول </w:t>
      </w:r>
      <w:r>
        <w:rPr>
          <w:rFonts w:ascii="Traditional Arabic" w:hAnsi="Traditional Arabic" w:cs="Traditional Arabic" w:hint="cs"/>
          <w:b/>
          <w:bCs/>
          <w:sz w:val="28"/>
          <w:szCs w:val="28"/>
          <w:rtl/>
        </w:rPr>
        <w:t>الادعاء</w:t>
      </w:r>
      <w:r w:rsidRPr="008F4C22">
        <w:rPr>
          <w:rFonts w:ascii="Traditional Arabic" w:hAnsi="Traditional Arabic" w:cs="Traditional Arabic"/>
          <w:b/>
          <w:bCs/>
          <w:sz w:val="28"/>
          <w:szCs w:val="28"/>
          <w:rtl/>
        </w:rPr>
        <w:t xml:space="preserve"> هو خلوه من التناقض الجوهرِي، وغياب المصلحة الشخصية، أو الدافع غير المشروع،</w:t>
      </w:r>
      <w:r w:rsidRPr="008F4C22">
        <w:rPr>
          <w:rFonts w:ascii="Traditional Arabic" w:hAnsi="Traditional Arabic" w:cs="Traditional Arabic"/>
          <w:sz w:val="28"/>
          <w:szCs w:val="28"/>
          <w:rtl/>
        </w:rPr>
        <w:t xml:space="preserve"> </w:t>
      </w:r>
      <w:r>
        <w:rPr>
          <w:rFonts w:ascii="Traditional Arabic" w:hAnsi="Traditional Arabic" w:cs="Traditional Arabic"/>
          <w:sz w:val="28"/>
          <w:szCs w:val="28"/>
          <w:rtl/>
        </w:rPr>
        <w:t>وإلا سقط</w:t>
      </w:r>
      <w:r>
        <w:rPr>
          <w:rFonts w:ascii="Traditional Arabic" w:hAnsi="Traditional Arabic" w:cs="Traditional Arabic" w:hint="cs"/>
          <w:sz w:val="28"/>
          <w:szCs w:val="28"/>
          <w:rtl/>
        </w:rPr>
        <w:t xml:space="preserve"> و</w:t>
      </w:r>
      <w:r w:rsidRPr="008F4C22">
        <w:rPr>
          <w:rFonts w:ascii="Traditional Arabic" w:hAnsi="Traditional Arabic" w:cs="Traditional Arabic"/>
          <w:sz w:val="28"/>
          <w:szCs w:val="28"/>
          <w:rtl/>
        </w:rPr>
        <w:t>لم يبق حجة في مقام التجريم</w:t>
      </w:r>
      <w:r w:rsidRPr="008F4C22">
        <w:rPr>
          <w:rFonts w:ascii="Traditional Arabic" w:hAnsi="Traditional Arabic" w:cs="Traditional Arabic"/>
          <w:sz w:val="28"/>
          <w:szCs w:val="28"/>
        </w:rPr>
        <w:t>.</w:t>
      </w:r>
      <w:r>
        <w:rPr>
          <w:rFonts w:ascii="Traditional Arabic" w:hAnsi="Traditional Arabic" w:cs="Traditional Arabic" w:hint="cs"/>
          <w:sz w:val="28"/>
          <w:szCs w:val="28"/>
          <w:rtl/>
        </w:rPr>
        <w:t xml:space="preserve"> </w:t>
      </w:r>
      <w:r w:rsidRPr="008F4C22">
        <w:rPr>
          <w:rFonts w:ascii="Traditional Arabic" w:hAnsi="Traditional Arabic" w:cs="Traditional Arabic"/>
          <w:sz w:val="28"/>
          <w:szCs w:val="28"/>
          <w:rtl/>
        </w:rPr>
        <w:t>وحيث إن الحكم محل الاعتراض قد استند – من حيث الدلالة– إلى أقوال المدعيتين (إبرار ومرام)، دون تحقق من تضارب أقوالهما، أو ثبوت وجود مصلحة مشتركة بينهما للإضرار بالمدعى عليه، فإن ذلك يُعد خللًا بيّنًا في تقدير المحكمة لحجية ما ورد في الدعوى</w:t>
      </w:r>
      <w:r w:rsidRPr="008F4C22">
        <w:rPr>
          <w:rFonts w:ascii="Traditional Arabic" w:hAnsi="Traditional Arabic" w:cs="Traditional Arabic"/>
          <w:sz w:val="28"/>
          <w:szCs w:val="28"/>
        </w:rPr>
        <w:t>.</w:t>
      </w:r>
    </w:p>
    <w:p w14:paraId="7931C313" w14:textId="699D8CE2" w:rsidR="008F4C22" w:rsidRPr="008F4C22" w:rsidRDefault="008F4C22" w:rsidP="008F4C22">
      <w:pPr>
        <w:numPr>
          <w:ilvl w:val="0"/>
          <w:numId w:val="25"/>
        </w:numPr>
        <w:bidi/>
        <w:jc w:val="both"/>
        <w:rPr>
          <w:rFonts w:ascii="Traditional Arabic" w:hAnsi="Traditional Arabic" w:cs="Traditional Arabic"/>
          <w:sz w:val="28"/>
          <w:szCs w:val="28"/>
        </w:rPr>
      </w:pPr>
      <w:r w:rsidRPr="008F4C22">
        <w:rPr>
          <w:rFonts w:ascii="Traditional Arabic" w:hAnsi="Traditional Arabic" w:cs="Traditional Arabic"/>
          <w:b/>
          <w:bCs/>
          <w:sz w:val="28"/>
          <w:szCs w:val="28"/>
          <w:rtl/>
        </w:rPr>
        <w:t>الثابت من أوراق الدعوى وشهادات الشهود، أن المدعى عليه سبق له مخاطبة الموارد البشرية بعدم تجديد عقد المدعية/ مرام، قبل تقديم شكواها، بسبب تقصيرها في العمل،</w:t>
      </w:r>
      <w:r w:rsidRPr="008F4C22">
        <w:rPr>
          <w:rFonts w:ascii="Traditional Arabic" w:hAnsi="Traditional Arabic" w:cs="Traditional Arabic"/>
          <w:sz w:val="28"/>
          <w:szCs w:val="28"/>
          <w:rtl/>
        </w:rPr>
        <w:t xml:space="preserve"> وهو ما قرره </w:t>
      </w:r>
      <w:r>
        <w:rPr>
          <w:rFonts w:ascii="Traditional Arabic" w:hAnsi="Traditional Arabic" w:cs="Traditional Arabic" w:hint="cs"/>
          <w:sz w:val="28"/>
          <w:szCs w:val="28"/>
          <w:rtl/>
        </w:rPr>
        <w:t>ال</w:t>
      </w:r>
      <w:r w:rsidRPr="008F4C22">
        <w:rPr>
          <w:rFonts w:ascii="Traditional Arabic" w:hAnsi="Traditional Arabic" w:cs="Traditional Arabic"/>
          <w:sz w:val="28"/>
          <w:szCs w:val="28"/>
          <w:rtl/>
        </w:rPr>
        <w:t xml:space="preserve">شاهد/ عبدالله العنزي، مدير الموارد البشرية، وأكده أيضًا شاهد آخر/ أحمد مكرم، بإثبات </w:t>
      </w:r>
      <w:r w:rsidRPr="008F4C22">
        <w:rPr>
          <w:rFonts w:ascii="Traditional Arabic" w:hAnsi="Traditional Arabic" w:cs="Traditional Arabic"/>
          <w:sz w:val="28"/>
          <w:szCs w:val="28"/>
          <w:rtl/>
        </w:rPr>
        <w:lastRenderedPageBreak/>
        <w:t>واقعة توبيخ موكلي لها علنًا في مؤتمر الشركة بفندق الفيرمونت</w:t>
      </w:r>
      <w:r w:rsidRPr="008F4C22">
        <w:rPr>
          <w:rFonts w:ascii="Traditional Arabic" w:hAnsi="Traditional Arabic" w:cs="Traditional Arabic"/>
          <w:sz w:val="28"/>
          <w:szCs w:val="28"/>
        </w:rPr>
        <w:t>.</w:t>
      </w:r>
      <w:r>
        <w:rPr>
          <w:rFonts w:ascii="Traditional Arabic" w:hAnsi="Traditional Arabic" w:cs="Traditional Arabic" w:hint="cs"/>
          <w:sz w:val="28"/>
          <w:szCs w:val="28"/>
          <w:rtl/>
        </w:rPr>
        <w:t xml:space="preserve"> </w:t>
      </w:r>
      <w:r w:rsidRPr="008F4C22">
        <w:rPr>
          <w:rFonts w:ascii="Traditional Arabic" w:hAnsi="Traditional Arabic" w:cs="Traditional Arabic"/>
          <w:sz w:val="28"/>
          <w:szCs w:val="28"/>
          <w:rtl/>
        </w:rPr>
        <w:t>وهذا التوبيخ وما ترتب عليه من توصية بعدم تجديد العقد يشكل دافعًا كافيًا للخصومة الشخصية، ويُضعف صدقية الشكوى، ويُظهر احتمال تواطؤ المدعيتين على تقديم بلاغ بقصد الانتقام ورد الكرامة، لا على أساس واقعة جنائية حقيقية</w:t>
      </w:r>
      <w:r w:rsidRPr="008F4C22">
        <w:rPr>
          <w:rFonts w:ascii="Traditional Arabic" w:hAnsi="Traditional Arabic" w:cs="Traditional Arabic"/>
          <w:sz w:val="28"/>
          <w:szCs w:val="28"/>
        </w:rPr>
        <w:t>.</w:t>
      </w:r>
    </w:p>
    <w:p w14:paraId="0515A3BF" w14:textId="77777777" w:rsidR="008F4C22" w:rsidRPr="008F4C22" w:rsidRDefault="008F4C22" w:rsidP="008F4C22">
      <w:pPr>
        <w:numPr>
          <w:ilvl w:val="0"/>
          <w:numId w:val="25"/>
        </w:numPr>
        <w:bidi/>
        <w:jc w:val="both"/>
        <w:rPr>
          <w:rFonts w:ascii="Traditional Arabic" w:hAnsi="Traditional Arabic" w:cs="Traditional Arabic"/>
          <w:sz w:val="28"/>
          <w:szCs w:val="28"/>
        </w:rPr>
      </w:pPr>
      <w:r w:rsidRPr="008F4C22">
        <w:rPr>
          <w:rFonts w:ascii="Traditional Arabic" w:hAnsi="Traditional Arabic" w:cs="Traditional Arabic"/>
          <w:b/>
          <w:bCs/>
          <w:sz w:val="28"/>
          <w:szCs w:val="28"/>
          <w:rtl/>
        </w:rPr>
        <w:t>كما ثبت وجود تناقض صريح بين أقوال المدعيتين في وقائع الدعوى</w:t>
      </w:r>
      <w:r w:rsidRPr="008F4C22">
        <w:rPr>
          <w:rFonts w:ascii="Traditional Arabic" w:hAnsi="Traditional Arabic" w:cs="Traditional Arabic"/>
          <w:b/>
          <w:bCs/>
          <w:sz w:val="28"/>
          <w:szCs w:val="28"/>
        </w:rPr>
        <w:t>:</w:t>
      </w:r>
    </w:p>
    <w:p w14:paraId="2EA840DB" w14:textId="2F9EEB61" w:rsidR="008F4C22" w:rsidRPr="008F4C22" w:rsidRDefault="008F4C22" w:rsidP="008F4C22">
      <w:pPr>
        <w:numPr>
          <w:ilvl w:val="1"/>
          <w:numId w:val="25"/>
        </w:numPr>
        <w:bidi/>
        <w:jc w:val="both"/>
        <w:rPr>
          <w:rFonts w:ascii="Traditional Arabic" w:hAnsi="Traditional Arabic" w:cs="Traditional Arabic"/>
          <w:sz w:val="28"/>
          <w:szCs w:val="28"/>
        </w:rPr>
      </w:pPr>
      <w:r w:rsidRPr="008F4C22">
        <w:rPr>
          <w:rFonts w:ascii="Traditional Arabic" w:hAnsi="Traditional Arabic" w:cs="Traditional Arabic"/>
          <w:sz w:val="28"/>
          <w:szCs w:val="28"/>
          <w:rtl/>
        </w:rPr>
        <w:t xml:space="preserve"> أن كلتا المدعيتين لم تتقدما بأي شكوى طيلة أشهر من وقوع الوقائع المدعاة، رغم أنهما تزعمّان أن الأفعال كانت متكررة، ما يُضعف الادعاء، ويثير الشك في صدقه وجديته</w:t>
      </w:r>
      <w:r w:rsidRPr="008F4C22">
        <w:rPr>
          <w:rFonts w:ascii="Traditional Arabic" w:hAnsi="Traditional Arabic" w:cs="Traditional Arabic"/>
          <w:sz w:val="28"/>
          <w:szCs w:val="28"/>
        </w:rPr>
        <w:t>.</w:t>
      </w:r>
    </w:p>
    <w:p w14:paraId="07CCE675" w14:textId="4AF30C45" w:rsidR="008F4C22" w:rsidRPr="00FE2FCF" w:rsidRDefault="008F4C22" w:rsidP="00FE2FCF">
      <w:pPr>
        <w:numPr>
          <w:ilvl w:val="0"/>
          <w:numId w:val="25"/>
        </w:numPr>
        <w:bidi/>
        <w:jc w:val="both"/>
        <w:rPr>
          <w:rFonts w:ascii="Traditional Arabic" w:hAnsi="Traditional Arabic" w:cs="Traditional Arabic"/>
          <w:sz w:val="28"/>
          <w:szCs w:val="28"/>
        </w:rPr>
      </w:pPr>
      <w:r w:rsidRPr="008F4C22">
        <w:rPr>
          <w:rFonts w:ascii="Traditional Arabic" w:hAnsi="Traditional Arabic" w:cs="Traditional Arabic"/>
          <w:b/>
          <w:bCs/>
          <w:sz w:val="28"/>
          <w:szCs w:val="28"/>
          <w:rtl/>
        </w:rPr>
        <w:t>من المبادئ النظامية المستقرة أن: "القرينة التي يشوبها التناقض، أو تعارضت مع أصل الحياد، تسقط عن مرتبة الحجية</w:t>
      </w:r>
      <w:r w:rsidRPr="008F4C22">
        <w:rPr>
          <w:rFonts w:ascii="Traditional Arabic" w:hAnsi="Traditional Arabic" w:cs="Traditional Arabic"/>
          <w:b/>
          <w:bCs/>
          <w:sz w:val="28"/>
          <w:szCs w:val="28"/>
        </w:rPr>
        <w:t>"</w:t>
      </w:r>
      <w:r w:rsidRPr="008F4C22">
        <w:rPr>
          <w:rFonts w:ascii="Traditional Arabic" w:hAnsi="Traditional Arabic" w:cs="Traditional Arabic"/>
          <w:b/>
          <w:bCs/>
          <w:sz w:val="28"/>
          <w:szCs w:val="28"/>
          <w:rtl/>
        </w:rPr>
        <w:t>،</w:t>
      </w:r>
      <w:r w:rsidRPr="008F4C22">
        <w:rPr>
          <w:rFonts w:ascii="Traditional Arabic" w:hAnsi="Traditional Arabic" w:cs="Traditional Arabic"/>
          <w:sz w:val="28"/>
          <w:szCs w:val="28"/>
          <w:rtl/>
        </w:rPr>
        <w:t xml:space="preserve"> وأن "من قامت قرائن مصلحية على عدم صدقه، أو أثبتت الوقائع وجود عداوة محتملة، فإن أقواله لا يُبنى عليها تجريم</w:t>
      </w:r>
      <w:r w:rsidRPr="008F4C22">
        <w:rPr>
          <w:rFonts w:ascii="Traditional Arabic" w:hAnsi="Traditional Arabic" w:cs="Traditional Arabic"/>
          <w:sz w:val="28"/>
          <w:szCs w:val="28"/>
        </w:rPr>
        <w:t>".</w:t>
      </w:r>
      <w:r w:rsidRPr="00FE2FCF">
        <w:rPr>
          <w:rFonts w:ascii="Traditional Arabic" w:hAnsi="Traditional Arabic" w:cs="Traditional Arabic"/>
          <w:sz w:val="28"/>
          <w:szCs w:val="28"/>
          <w:rtl/>
        </w:rPr>
        <w:t>وهذا ما استقرت عليه أحكام المحكمة العليا في الدعاوى التعزيرية، بأن الشك في نية الشاهد أو المبلغ، أو تضارب شهادته، أو تواطؤه مع غيره، يُدرأ به الحد والتعزير معًا</w:t>
      </w:r>
      <w:r w:rsidRPr="00FE2FCF">
        <w:rPr>
          <w:rFonts w:ascii="Traditional Arabic" w:hAnsi="Traditional Arabic" w:cs="Traditional Arabic"/>
          <w:sz w:val="28"/>
          <w:szCs w:val="28"/>
        </w:rPr>
        <w:t>.</w:t>
      </w:r>
    </w:p>
    <w:p w14:paraId="21B23AC9" w14:textId="77777777" w:rsidR="00FA4398" w:rsidRPr="00FA4398" w:rsidRDefault="00FA4398" w:rsidP="00FA4398">
      <w:pPr>
        <w:tabs>
          <w:tab w:val="left" w:pos="1152"/>
        </w:tabs>
        <w:bidi/>
        <w:jc w:val="both"/>
        <w:rPr>
          <w:rFonts w:ascii="Traditional Arabic" w:hAnsi="Traditional Arabic" w:cs="Traditional Arabic"/>
          <w:sz w:val="28"/>
          <w:szCs w:val="28"/>
        </w:rPr>
      </w:pPr>
      <w:r w:rsidRPr="00FA4398">
        <w:rPr>
          <w:rFonts w:ascii="Segoe UI Symbol" w:hAnsi="Segoe UI Symbol" w:cs="Segoe UI Symbol"/>
          <w:sz w:val="28"/>
          <w:szCs w:val="28"/>
        </w:rPr>
        <w:t>🔹</w:t>
      </w:r>
      <w:r w:rsidRPr="00FA4398">
        <w:rPr>
          <w:rFonts w:ascii="Traditional Arabic" w:hAnsi="Traditional Arabic" w:cs="Traditional Arabic"/>
          <w:sz w:val="28"/>
          <w:szCs w:val="28"/>
        </w:rPr>
        <w:t xml:space="preserve"> </w:t>
      </w:r>
      <w:r w:rsidRPr="00FA4398">
        <w:rPr>
          <w:rFonts w:ascii="Traditional Arabic" w:hAnsi="Traditional Arabic" w:cs="Traditional Arabic"/>
          <w:b/>
          <w:bCs/>
          <w:sz w:val="28"/>
          <w:szCs w:val="28"/>
          <w:rtl/>
        </w:rPr>
        <w:t>الوجه الرابع: الإخلال الجوهري بحقوق الدفاع وغياب ضمانات المواجهة القضائية العادلة</w:t>
      </w:r>
    </w:p>
    <w:p w14:paraId="4D85EED6" w14:textId="77777777" w:rsidR="00FA4398" w:rsidRPr="00FA4398" w:rsidRDefault="00FA4398" w:rsidP="00FA4398">
      <w:pPr>
        <w:tabs>
          <w:tab w:val="left" w:pos="1152"/>
        </w:tabs>
        <w:bidi/>
        <w:jc w:val="both"/>
        <w:rPr>
          <w:rFonts w:ascii="Traditional Arabic" w:hAnsi="Traditional Arabic" w:cs="Traditional Arabic"/>
          <w:sz w:val="28"/>
          <w:szCs w:val="28"/>
        </w:rPr>
      </w:pPr>
      <w:r w:rsidRPr="00FA4398">
        <w:rPr>
          <w:rFonts w:ascii="Traditional Arabic" w:hAnsi="Traditional Arabic" w:cs="Traditional Arabic"/>
          <w:sz w:val="28"/>
          <w:szCs w:val="28"/>
          <w:rtl/>
        </w:rPr>
        <w:t>من المبادئ المستقرة في الأنظمة القضائية، أن حقوق الدفاع تمثل جوهر العدالة الجنائية، ولا تُعدّ تكميلية أو تقديرية، بل تُلزم المحكمة بتوفير كافة الضمانات التي تكفل للمتهم الدفاع عن نفسه دفاعًا كاملًا ومتكافئًا، على نحو يُحقق مبدأ "المواجهة القضائية" ومبدأ "تكافؤ السلاح" بين أطراف الدعوى، ومن ثم فإن أي مساس بهذه الحقوق يُعد خللًا جوهريًا في الإجراءات، يقتضي بطلان الحكم ونقضه</w:t>
      </w:r>
      <w:r w:rsidRPr="00FA4398">
        <w:rPr>
          <w:rFonts w:ascii="Traditional Arabic" w:hAnsi="Traditional Arabic" w:cs="Traditional Arabic"/>
          <w:sz w:val="28"/>
          <w:szCs w:val="28"/>
        </w:rPr>
        <w:t>.</w:t>
      </w:r>
    </w:p>
    <w:p w14:paraId="26285BF7" w14:textId="77777777" w:rsidR="00FA4398" w:rsidRPr="00FA4398" w:rsidRDefault="00FA4398" w:rsidP="00FA4398">
      <w:pPr>
        <w:tabs>
          <w:tab w:val="left" w:pos="1152"/>
        </w:tabs>
        <w:bidi/>
        <w:jc w:val="both"/>
        <w:rPr>
          <w:rFonts w:ascii="Traditional Arabic" w:hAnsi="Traditional Arabic" w:cs="Traditional Arabic"/>
          <w:sz w:val="28"/>
          <w:szCs w:val="28"/>
        </w:rPr>
      </w:pPr>
      <w:r w:rsidRPr="00FA4398">
        <w:rPr>
          <w:rFonts w:ascii="Traditional Arabic" w:hAnsi="Traditional Arabic" w:cs="Traditional Arabic"/>
          <w:sz w:val="28"/>
          <w:szCs w:val="28"/>
          <w:rtl/>
        </w:rPr>
        <w:t xml:space="preserve">وما ورد في الحكم محل الاعتراض يكشف عن </w:t>
      </w:r>
      <w:r w:rsidRPr="00FA4398">
        <w:rPr>
          <w:rFonts w:ascii="Traditional Arabic" w:hAnsi="Traditional Arabic" w:cs="Traditional Arabic"/>
          <w:b/>
          <w:bCs/>
          <w:sz w:val="28"/>
          <w:szCs w:val="28"/>
          <w:rtl/>
        </w:rPr>
        <w:t>إخلال مركّب بحق الدفاع</w:t>
      </w:r>
      <w:r w:rsidRPr="00FA4398">
        <w:rPr>
          <w:rFonts w:ascii="Traditional Arabic" w:hAnsi="Traditional Arabic" w:cs="Traditional Arabic"/>
          <w:sz w:val="28"/>
          <w:szCs w:val="28"/>
          <w:rtl/>
        </w:rPr>
        <w:t>، وذلك من الوجوه الآتية</w:t>
      </w:r>
      <w:r w:rsidRPr="00FA4398">
        <w:rPr>
          <w:rFonts w:ascii="Traditional Arabic" w:hAnsi="Traditional Arabic" w:cs="Traditional Arabic"/>
          <w:sz w:val="28"/>
          <w:szCs w:val="28"/>
        </w:rPr>
        <w:t>:</w:t>
      </w:r>
    </w:p>
    <w:p w14:paraId="755CCC7F" w14:textId="77777777" w:rsidR="00FA4398" w:rsidRPr="00FA4398" w:rsidRDefault="00FA4398" w:rsidP="00FA4398">
      <w:pPr>
        <w:tabs>
          <w:tab w:val="left" w:pos="1152"/>
        </w:tabs>
        <w:bidi/>
        <w:jc w:val="both"/>
        <w:rPr>
          <w:rFonts w:ascii="Traditional Arabic" w:hAnsi="Traditional Arabic" w:cs="Traditional Arabic"/>
          <w:b/>
          <w:bCs/>
          <w:sz w:val="28"/>
          <w:szCs w:val="28"/>
        </w:rPr>
      </w:pPr>
      <w:r w:rsidRPr="00FA4398">
        <w:rPr>
          <w:rFonts w:ascii="Traditional Arabic" w:hAnsi="Traditional Arabic" w:cs="Traditional Arabic"/>
          <w:b/>
          <w:bCs/>
          <w:sz w:val="28"/>
          <w:szCs w:val="28"/>
          <w:rtl/>
        </w:rPr>
        <w:t>أولًا: حرمان الدفاع من الاطلاع على التسجيل المصوَّر الذي استُند إليه في واقعة "لمسة الكتف</w:t>
      </w:r>
      <w:r w:rsidRPr="00FA4398">
        <w:rPr>
          <w:rFonts w:ascii="Traditional Arabic" w:hAnsi="Traditional Arabic" w:cs="Traditional Arabic"/>
          <w:b/>
          <w:bCs/>
          <w:sz w:val="28"/>
          <w:szCs w:val="28"/>
        </w:rPr>
        <w:t>"</w:t>
      </w:r>
    </w:p>
    <w:p w14:paraId="041E2611" w14:textId="77777777" w:rsidR="00FA4398" w:rsidRPr="00FA4398" w:rsidRDefault="00FA4398" w:rsidP="00FA4398">
      <w:pPr>
        <w:numPr>
          <w:ilvl w:val="0"/>
          <w:numId w:val="27"/>
        </w:numPr>
        <w:tabs>
          <w:tab w:val="left" w:pos="1152"/>
        </w:tabs>
        <w:bidi/>
        <w:jc w:val="both"/>
        <w:rPr>
          <w:rFonts w:ascii="Traditional Arabic" w:hAnsi="Traditional Arabic" w:cs="Traditional Arabic"/>
          <w:sz w:val="28"/>
          <w:szCs w:val="28"/>
        </w:rPr>
      </w:pPr>
      <w:r w:rsidRPr="00FA4398">
        <w:rPr>
          <w:rFonts w:ascii="Traditional Arabic" w:hAnsi="Traditional Arabic" w:cs="Traditional Arabic"/>
          <w:sz w:val="28"/>
          <w:szCs w:val="28"/>
          <w:rtl/>
        </w:rPr>
        <w:t>إن المحكمة اعتمدت في توصيف الجرم الواقع من موكلي ضد المدعية/ إبرار، على محضر ضبط من جهة التحقيق، أُشير فيه إلى وجود تصوير من كاميرات المراقبة في فندق الفيرمونت، يُظهر قيام موكلي بوضع يده على كتف المدعية أثناء الدخول لمكان الاجتماع</w:t>
      </w:r>
      <w:r w:rsidRPr="00FA4398">
        <w:rPr>
          <w:rFonts w:ascii="Traditional Arabic" w:hAnsi="Traditional Arabic" w:cs="Traditional Arabic"/>
          <w:sz w:val="28"/>
          <w:szCs w:val="28"/>
        </w:rPr>
        <w:t>.</w:t>
      </w:r>
    </w:p>
    <w:p w14:paraId="13A70C75" w14:textId="77777777" w:rsidR="00FA4398" w:rsidRPr="00FA4398" w:rsidRDefault="00FA4398" w:rsidP="00FA4398">
      <w:pPr>
        <w:numPr>
          <w:ilvl w:val="0"/>
          <w:numId w:val="27"/>
        </w:numPr>
        <w:tabs>
          <w:tab w:val="left" w:pos="1152"/>
        </w:tabs>
        <w:bidi/>
        <w:jc w:val="both"/>
        <w:rPr>
          <w:rFonts w:ascii="Traditional Arabic" w:hAnsi="Traditional Arabic" w:cs="Traditional Arabic"/>
          <w:sz w:val="28"/>
          <w:szCs w:val="28"/>
        </w:rPr>
      </w:pPr>
      <w:r w:rsidRPr="00FA4398">
        <w:rPr>
          <w:rFonts w:ascii="Traditional Arabic" w:hAnsi="Traditional Arabic" w:cs="Traditional Arabic"/>
          <w:sz w:val="28"/>
          <w:szCs w:val="28"/>
          <w:rtl/>
        </w:rPr>
        <w:t>غير أن المحكمة لم تطّلع بنفسها على هذا التسجيل المصوّر، ولم يُعرض على مجلس القضاء، ولم يُدرج ضمن ملف الدعوى، رغم أن المحكمة قد طلبت صراحة من المدعي العام تقديمه، ومنحته مهلة نظامية لذلك</w:t>
      </w:r>
      <w:r w:rsidRPr="00FA4398">
        <w:rPr>
          <w:rFonts w:ascii="Traditional Arabic" w:hAnsi="Traditional Arabic" w:cs="Traditional Arabic"/>
          <w:sz w:val="28"/>
          <w:szCs w:val="28"/>
        </w:rPr>
        <w:t>.</w:t>
      </w:r>
    </w:p>
    <w:p w14:paraId="0A95936A" w14:textId="77777777" w:rsidR="00FA4398" w:rsidRPr="00FA4398" w:rsidRDefault="00FA4398" w:rsidP="00FA4398">
      <w:pPr>
        <w:numPr>
          <w:ilvl w:val="0"/>
          <w:numId w:val="27"/>
        </w:numPr>
        <w:tabs>
          <w:tab w:val="left" w:pos="1152"/>
        </w:tabs>
        <w:bidi/>
        <w:jc w:val="both"/>
        <w:rPr>
          <w:rFonts w:ascii="Traditional Arabic" w:hAnsi="Traditional Arabic" w:cs="Traditional Arabic"/>
          <w:sz w:val="28"/>
          <w:szCs w:val="28"/>
        </w:rPr>
      </w:pPr>
      <w:r w:rsidRPr="00FA4398">
        <w:rPr>
          <w:rFonts w:ascii="Traditional Arabic" w:hAnsi="Traditional Arabic" w:cs="Traditional Arabic"/>
          <w:sz w:val="28"/>
          <w:szCs w:val="28"/>
          <w:rtl/>
        </w:rPr>
        <w:t>وقد تخلف المدعي العام عن تقديم التسجيل دون مسوغ مشروع، ثم اكتفى بالإشارة إلى المحضر الكتابي المجتزأ، وهو ما يُعد مخالفة بيّنة لنص المادة (182) من اللائحة التنفيذية لنظام الإجراءات الجزائية، التي توجب أن يُبنى الحكم على الأدلة المطروحة على بساط المرافعة، لا على محاضر غائبة لا تخضع للمناقشة القضائية</w:t>
      </w:r>
      <w:r w:rsidRPr="00FA4398">
        <w:rPr>
          <w:rFonts w:ascii="Traditional Arabic" w:hAnsi="Traditional Arabic" w:cs="Traditional Arabic"/>
          <w:sz w:val="28"/>
          <w:szCs w:val="28"/>
        </w:rPr>
        <w:t>.</w:t>
      </w:r>
    </w:p>
    <w:p w14:paraId="2744F1BF" w14:textId="77777777" w:rsidR="00FA4398" w:rsidRPr="00FA4398" w:rsidRDefault="00FA4398" w:rsidP="00FA4398">
      <w:pPr>
        <w:numPr>
          <w:ilvl w:val="0"/>
          <w:numId w:val="27"/>
        </w:numPr>
        <w:tabs>
          <w:tab w:val="left" w:pos="1152"/>
        </w:tabs>
        <w:bidi/>
        <w:jc w:val="both"/>
        <w:rPr>
          <w:rFonts w:ascii="Traditional Arabic" w:hAnsi="Traditional Arabic" w:cs="Traditional Arabic"/>
          <w:sz w:val="28"/>
          <w:szCs w:val="28"/>
        </w:rPr>
      </w:pPr>
      <w:r w:rsidRPr="00FA4398">
        <w:rPr>
          <w:rFonts w:ascii="Traditional Arabic" w:hAnsi="Traditional Arabic" w:cs="Traditional Arabic"/>
          <w:sz w:val="28"/>
          <w:szCs w:val="28"/>
          <w:rtl/>
        </w:rPr>
        <w:lastRenderedPageBreak/>
        <w:t xml:space="preserve">كما أن </w:t>
      </w:r>
      <w:r w:rsidRPr="00FA4398">
        <w:rPr>
          <w:rFonts w:ascii="Traditional Arabic" w:hAnsi="Traditional Arabic" w:cs="Traditional Arabic"/>
          <w:b/>
          <w:bCs/>
          <w:sz w:val="28"/>
          <w:szCs w:val="28"/>
          <w:rtl/>
        </w:rPr>
        <w:t>عدم عرض التسجيل على المتهم أو وكيله، وحرمان الدفاع من الاطلاع عليه، أو من مناقشة دلالته أو مدى اجتزائه أو سياقه الزمني</w:t>
      </w:r>
      <w:r w:rsidRPr="00FA4398">
        <w:rPr>
          <w:rFonts w:ascii="Traditional Arabic" w:hAnsi="Traditional Arabic" w:cs="Traditional Arabic"/>
          <w:sz w:val="28"/>
          <w:szCs w:val="28"/>
          <w:rtl/>
        </w:rPr>
        <w:t>، يُعد انتقاصًا من حق المواجهة، ويُضعف حجية الاستدلال به، خاصة وأن المحكمة اعتبرت هذا المشهد وحده قرينة على قصد جنسي محرّم، دون أن تتأكد من ماهية الفعل أو سياقه، أو تحيله لخبير تقني لتحليله بشكل فني</w:t>
      </w:r>
      <w:r w:rsidRPr="00FA4398">
        <w:rPr>
          <w:rFonts w:ascii="Traditional Arabic" w:hAnsi="Traditional Arabic" w:cs="Traditional Arabic"/>
          <w:sz w:val="28"/>
          <w:szCs w:val="28"/>
        </w:rPr>
        <w:t>.</w:t>
      </w:r>
    </w:p>
    <w:p w14:paraId="1AFAF49F" w14:textId="77777777" w:rsidR="00FA4398" w:rsidRPr="00FA4398" w:rsidRDefault="00FA4398" w:rsidP="00FA4398">
      <w:pPr>
        <w:tabs>
          <w:tab w:val="left" w:pos="1152"/>
        </w:tabs>
        <w:bidi/>
        <w:jc w:val="both"/>
        <w:rPr>
          <w:rFonts w:ascii="Traditional Arabic" w:hAnsi="Traditional Arabic" w:cs="Traditional Arabic"/>
          <w:b/>
          <w:bCs/>
          <w:sz w:val="28"/>
          <w:szCs w:val="28"/>
        </w:rPr>
      </w:pPr>
      <w:r w:rsidRPr="00FA4398">
        <w:rPr>
          <w:rFonts w:ascii="Traditional Arabic" w:hAnsi="Traditional Arabic" w:cs="Traditional Arabic"/>
          <w:b/>
          <w:bCs/>
          <w:sz w:val="28"/>
          <w:szCs w:val="28"/>
          <w:rtl/>
        </w:rPr>
        <w:t>ثانيًا: اعتماد المحكمة على تسجيل صوتي لم يُحل إلى خبير فني ولم يُمكَّن الدفاع من الطعن فيه</w:t>
      </w:r>
    </w:p>
    <w:p w14:paraId="28872F23" w14:textId="77777777" w:rsidR="00FA4398" w:rsidRPr="00FA4398" w:rsidRDefault="00FA4398" w:rsidP="00FA4398">
      <w:pPr>
        <w:numPr>
          <w:ilvl w:val="0"/>
          <w:numId w:val="28"/>
        </w:numPr>
        <w:tabs>
          <w:tab w:val="left" w:pos="1152"/>
        </w:tabs>
        <w:bidi/>
        <w:jc w:val="both"/>
        <w:rPr>
          <w:rFonts w:ascii="Traditional Arabic" w:hAnsi="Traditional Arabic" w:cs="Traditional Arabic"/>
          <w:sz w:val="28"/>
          <w:szCs w:val="28"/>
        </w:rPr>
      </w:pPr>
      <w:r w:rsidRPr="00FA4398">
        <w:rPr>
          <w:rFonts w:ascii="Traditional Arabic" w:hAnsi="Traditional Arabic" w:cs="Traditional Arabic"/>
          <w:sz w:val="28"/>
          <w:szCs w:val="28"/>
          <w:rtl/>
        </w:rPr>
        <w:t>إن الحكم استند إلى عبارة "حبيبتي" المنسوبة إلى موكلي، والتي وردت – بحسب الادعاء – في تسجيل صوتي قدمته المدعية/ مرام</w:t>
      </w:r>
      <w:r w:rsidRPr="00FA4398">
        <w:rPr>
          <w:rFonts w:ascii="Traditional Arabic" w:hAnsi="Traditional Arabic" w:cs="Traditional Arabic"/>
          <w:sz w:val="28"/>
          <w:szCs w:val="28"/>
        </w:rPr>
        <w:t>.</w:t>
      </w:r>
    </w:p>
    <w:p w14:paraId="65280E1B" w14:textId="77777777" w:rsidR="00FA4398" w:rsidRPr="00FA4398" w:rsidRDefault="00FA4398" w:rsidP="00FA4398">
      <w:pPr>
        <w:numPr>
          <w:ilvl w:val="0"/>
          <w:numId w:val="28"/>
        </w:numPr>
        <w:tabs>
          <w:tab w:val="left" w:pos="1152"/>
        </w:tabs>
        <w:bidi/>
        <w:jc w:val="both"/>
        <w:rPr>
          <w:rFonts w:ascii="Traditional Arabic" w:hAnsi="Traditional Arabic" w:cs="Traditional Arabic"/>
          <w:sz w:val="28"/>
          <w:szCs w:val="28"/>
        </w:rPr>
      </w:pPr>
      <w:r w:rsidRPr="00FA4398">
        <w:rPr>
          <w:rFonts w:ascii="Traditional Arabic" w:hAnsi="Traditional Arabic" w:cs="Traditional Arabic"/>
          <w:sz w:val="28"/>
          <w:szCs w:val="28"/>
          <w:rtl/>
        </w:rPr>
        <w:t>إلا أن هذا التسجيل لم يُعرض على خبير تقني مستقل لإثبات</w:t>
      </w:r>
      <w:r w:rsidRPr="00FA4398">
        <w:rPr>
          <w:rFonts w:ascii="Traditional Arabic" w:hAnsi="Traditional Arabic" w:cs="Traditional Arabic"/>
          <w:sz w:val="28"/>
          <w:szCs w:val="28"/>
        </w:rPr>
        <w:t>:</w:t>
      </w:r>
    </w:p>
    <w:p w14:paraId="4CB20B15" w14:textId="77777777" w:rsidR="00FA4398" w:rsidRPr="00FA4398" w:rsidRDefault="00FA4398" w:rsidP="00FA4398">
      <w:pPr>
        <w:numPr>
          <w:ilvl w:val="1"/>
          <w:numId w:val="28"/>
        </w:numPr>
        <w:tabs>
          <w:tab w:val="left" w:pos="1152"/>
        </w:tabs>
        <w:bidi/>
        <w:jc w:val="both"/>
        <w:rPr>
          <w:rFonts w:ascii="Traditional Arabic" w:hAnsi="Traditional Arabic" w:cs="Traditional Arabic"/>
          <w:sz w:val="28"/>
          <w:szCs w:val="28"/>
        </w:rPr>
      </w:pPr>
      <w:r w:rsidRPr="00FA4398">
        <w:rPr>
          <w:rFonts w:ascii="Traditional Arabic" w:hAnsi="Traditional Arabic" w:cs="Traditional Arabic"/>
          <w:b/>
          <w:bCs/>
          <w:sz w:val="28"/>
          <w:szCs w:val="28"/>
          <w:rtl/>
        </w:rPr>
        <w:t>نسبته الصوتية لموكلي</w:t>
      </w:r>
      <w:r w:rsidRPr="00FA4398">
        <w:rPr>
          <w:rFonts w:ascii="Traditional Arabic" w:hAnsi="Traditional Arabic" w:cs="Traditional Arabic"/>
          <w:sz w:val="28"/>
          <w:szCs w:val="28"/>
        </w:rPr>
        <w:t>.</w:t>
      </w:r>
    </w:p>
    <w:p w14:paraId="65600655" w14:textId="77777777" w:rsidR="00FA4398" w:rsidRPr="00FA4398" w:rsidRDefault="00FA4398" w:rsidP="00FA4398">
      <w:pPr>
        <w:numPr>
          <w:ilvl w:val="1"/>
          <w:numId w:val="28"/>
        </w:numPr>
        <w:tabs>
          <w:tab w:val="left" w:pos="1152"/>
        </w:tabs>
        <w:bidi/>
        <w:jc w:val="both"/>
        <w:rPr>
          <w:rFonts w:ascii="Traditional Arabic" w:hAnsi="Traditional Arabic" w:cs="Traditional Arabic"/>
          <w:sz w:val="28"/>
          <w:szCs w:val="28"/>
        </w:rPr>
      </w:pPr>
      <w:r w:rsidRPr="00FA4398">
        <w:rPr>
          <w:rFonts w:ascii="Traditional Arabic" w:hAnsi="Traditional Arabic" w:cs="Traditional Arabic"/>
          <w:b/>
          <w:bCs/>
          <w:sz w:val="28"/>
          <w:szCs w:val="28"/>
          <w:rtl/>
        </w:rPr>
        <w:t>خلوه من الاجتزاء أو التعديل أو الفبركة</w:t>
      </w:r>
      <w:r w:rsidRPr="00FA4398">
        <w:rPr>
          <w:rFonts w:ascii="Traditional Arabic" w:hAnsi="Traditional Arabic" w:cs="Traditional Arabic"/>
          <w:sz w:val="28"/>
          <w:szCs w:val="28"/>
        </w:rPr>
        <w:t>.</w:t>
      </w:r>
    </w:p>
    <w:p w14:paraId="2FDFE5B0" w14:textId="77777777" w:rsidR="00FA4398" w:rsidRPr="00FA4398" w:rsidRDefault="00FA4398" w:rsidP="00FA4398">
      <w:pPr>
        <w:numPr>
          <w:ilvl w:val="1"/>
          <w:numId w:val="28"/>
        </w:numPr>
        <w:tabs>
          <w:tab w:val="left" w:pos="1152"/>
        </w:tabs>
        <w:bidi/>
        <w:jc w:val="both"/>
        <w:rPr>
          <w:rFonts w:ascii="Traditional Arabic" w:hAnsi="Traditional Arabic" w:cs="Traditional Arabic"/>
          <w:sz w:val="28"/>
          <w:szCs w:val="28"/>
        </w:rPr>
      </w:pPr>
      <w:r w:rsidRPr="00FA4398">
        <w:rPr>
          <w:rFonts w:ascii="Traditional Arabic" w:hAnsi="Traditional Arabic" w:cs="Traditional Arabic"/>
          <w:b/>
          <w:bCs/>
          <w:sz w:val="28"/>
          <w:szCs w:val="28"/>
          <w:rtl/>
        </w:rPr>
        <w:t>سياقه الزمني واللغوي</w:t>
      </w:r>
      <w:r w:rsidRPr="00FA4398">
        <w:rPr>
          <w:rFonts w:ascii="Traditional Arabic" w:hAnsi="Traditional Arabic" w:cs="Traditional Arabic"/>
          <w:sz w:val="28"/>
          <w:szCs w:val="28"/>
          <w:rtl/>
        </w:rPr>
        <w:t>، ومناسبته العامة</w:t>
      </w:r>
      <w:r w:rsidRPr="00FA4398">
        <w:rPr>
          <w:rFonts w:ascii="Traditional Arabic" w:hAnsi="Traditional Arabic" w:cs="Traditional Arabic"/>
          <w:sz w:val="28"/>
          <w:szCs w:val="28"/>
        </w:rPr>
        <w:t>.</w:t>
      </w:r>
    </w:p>
    <w:p w14:paraId="3B7B5F9D" w14:textId="77777777" w:rsidR="00FA4398" w:rsidRPr="00FA4398" w:rsidRDefault="00FA4398" w:rsidP="00FA4398">
      <w:pPr>
        <w:numPr>
          <w:ilvl w:val="0"/>
          <w:numId w:val="28"/>
        </w:numPr>
        <w:tabs>
          <w:tab w:val="left" w:pos="1152"/>
        </w:tabs>
        <w:bidi/>
        <w:jc w:val="both"/>
        <w:rPr>
          <w:rFonts w:ascii="Traditional Arabic" w:hAnsi="Traditional Arabic" w:cs="Traditional Arabic"/>
          <w:sz w:val="28"/>
          <w:szCs w:val="28"/>
        </w:rPr>
      </w:pPr>
      <w:r w:rsidRPr="00FA4398">
        <w:rPr>
          <w:rFonts w:ascii="Traditional Arabic" w:hAnsi="Traditional Arabic" w:cs="Traditional Arabic"/>
          <w:sz w:val="28"/>
          <w:szCs w:val="28"/>
          <w:rtl/>
        </w:rPr>
        <w:t>ولم يُتح لهيئة الدفاع الحصول على نسخة رسمية من التسجيل، أو الاطلاع عليه بشكل مباشر، أو الطعن في محتواه، أو تقديم تحليل مقابل له، مما يُخل بتمام المواجهة ويُبطل الاعتماد عليه كدليل في توصيف جريمة تمس العرض والشرف</w:t>
      </w:r>
      <w:r w:rsidRPr="00FA4398">
        <w:rPr>
          <w:rFonts w:ascii="Traditional Arabic" w:hAnsi="Traditional Arabic" w:cs="Traditional Arabic"/>
          <w:sz w:val="28"/>
          <w:szCs w:val="28"/>
        </w:rPr>
        <w:t>.</w:t>
      </w:r>
    </w:p>
    <w:p w14:paraId="070FD93D" w14:textId="77777777" w:rsidR="00FA4398" w:rsidRPr="00FA4398" w:rsidRDefault="00FA4398" w:rsidP="00FA4398">
      <w:pPr>
        <w:numPr>
          <w:ilvl w:val="0"/>
          <w:numId w:val="28"/>
        </w:numPr>
        <w:tabs>
          <w:tab w:val="left" w:pos="1152"/>
        </w:tabs>
        <w:bidi/>
        <w:jc w:val="both"/>
        <w:rPr>
          <w:rFonts w:ascii="Traditional Arabic" w:hAnsi="Traditional Arabic" w:cs="Traditional Arabic"/>
          <w:sz w:val="28"/>
          <w:szCs w:val="28"/>
        </w:rPr>
      </w:pPr>
      <w:r w:rsidRPr="00FA4398">
        <w:rPr>
          <w:rFonts w:ascii="Traditional Arabic" w:hAnsi="Traditional Arabic" w:cs="Traditional Arabic"/>
          <w:sz w:val="28"/>
          <w:szCs w:val="28"/>
          <w:rtl/>
        </w:rPr>
        <w:t xml:space="preserve">كما أن </w:t>
      </w:r>
      <w:r w:rsidRPr="00FA4398">
        <w:rPr>
          <w:rFonts w:ascii="Traditional Arabic" w:hAnsi="Traditional Arabic" w:cs="Traditional Arabic"/>
          <w:b/>
          <w:bCs/>
          <w:sz w:val="28"/>
          <w:szCs w:val="28"/>
          <w:rtl/>
        </w:rPr>
        <w:t>مصدر التسجيل ذاته – وهو هاتف المدعية – يفتقر إلى الحياد والضبط، ويحتمل التلاعب، ما لم يخضع للفحص الفني المحايد</w:t>
      </w:r>
      <w:r w:rsidRPr="00FA4398">
        <w:rPr>
          <w:rFonts w:ascii="Traditional Arabic" w:hAnsi="Traditional Arabic" w:cs="Traditional Arabic"/>
          <w:sz w:val="28"/>
          <w:szCs w:val="28"/>
        </w:rPr>
        <w:t xml:space="preserve">. </w:t>
      </w:r>
      <w:r w:rsidRPr="00FA4398">
        <w:rPr>
          <w:rFonts w:ascii="Traditional Arabic" w:hAnsi="Traditional Arabic" w:cs="Traditional Arabic"/>
          <w:sz w:val="28"/>
          <w:szCs w:val="28"/>
          <w:rtl/>
        </w:rPr>
        <w:t>وهذا ما لم تفعله المحكمة، بل اكتفت بالإشارة المجملة إلى ورود العبارة في التسجيل، دون تحليل لغوي، أو سياقي، أو زمني، ودون ربطها بنيّة جنسية يقينية</w:t>
      </w:r>
      <w:r w:rsidRPr="00FA4398">
        <w:rPr>
          <w:rFonts w:ascii="Traditional Arabic" w:hAnsi="Traditional Arabic" w:cs="Traditional Arabic"/>
          <w:sz w:val="28"/>
          <w:szCs w:val="28"/>
        </w:rPr>
        <w:t>.</w:t>
      </w:r>
    </w:p>
    <w:p w14:paraId="060DAC6A" w14:textId="77777777" w:rsidR="00FA4398" w:rsidRPr="00FA4398" w:rsidRDefault="00FA4398" w:rsidP="00FA4398">
      <w:pPr>
        <w:numPr>
          <w:ilvl w:val="0"/>
          <w:numId w:val="28"/>
        </w:numPr>
        <w:tabs>
          <w:tab w:val="left" w:pos="1152"/>
        </w:tabs>
        <w:bidi/>
        <w:jc w:val="both"/>
        <w:rPr>
          <w:rFonts w:ascii="Traditional Arabic" w:hAnsi="Traditional Arabic" w:cs="Traditional Arabic"/>
          <w:sz w:val="28"/>
          <w:szCs w:val="28"/>
        </w:rPr>
      </w:pPr>
      <w:r w:rsidRPr="00FA4398">
        <w:rPr>
          <w:rFonts w:ascii="Traditional Arabic" w:hAnsi="Traditional Arabic" w:cs="Traditional Arabic"/>
          <w:sz w:val="28"/>
          <w:szCs w:val="28"/>
          <w:rtl/>
        </w:rPr>
        <w:t>من المتقرر أن وسائل الإثبات التقنية لا تُقبل ما لم تكن</w:t>
      </w:r>
      <w:r w:rsidRPr="00FA4398">
        <w:rPr>
          <w:rFonts w:ascii="Traditional Arabic" w:hAnsi="Traditional Arabic" w:cs="Traditional Arabic"/>
          <w:sz w:val="28"/>
          <w:szCs w:val="28"/>
        </w:rPr>
        <w:t>:</w:t>
      </w:r>
    </w:p>
    <w:p w14:paraId="559C1B46" w14:textId="77777777" w:rsidR="00FA4398" w:rsidRPr="00FA4398" w:rsidRDefault="00FA4398" w:rsidP="00FA4398">
      <w:pPr>
        <w:numPr>
          <w:ilvl w:val="1"/>
          <w:numId w:val="28"/>
        </w:numPr>
        <w:tabs>
          <w:tab w:val="left" w:pos="1152"/>
        </w:tabs>
        <w:bidi/>
        <w:jc w:val="both"/>
        <w:rPr>
          <w:rFonts w:ascii="Traditional Arabic" w:hAnsi="Traditional Arabic" w:cs="Traditional Arabic"/>
          <w:sz w:val="28"/>
          <w:szCs w:val="28"/>
        </w:rPr>
      </w:pPr>
      <w:r w:rsidRPr="00FA4398">
        <w:rPr>
          <w:rFonts w:ascii="Traditional Arabic" w:hAnsi="Traditional Arabic" w:cs="Traditional Arabic"/>
          <w:sz w:val="28"/>
          <w:szCs w:val="28"/>
          <w:rtl/>
        </w:rPr>
        <w:t>ثابتة المصدر،</w:t>
      </w:r>
    </w:p>
    <w:p w14:paraId="60CF322E" w14:textId="77777777" w:rsidR="00FA4398" w:rsidRPr="00FA4398" w:rsidRDefault="00FA4398" w:rsidP="00FA4398">
      <w:pPr>
        <w:numPr>
          <w:ilvl w:val="1"/>
          <w:numId w:val="28"/>
        </w:numPr>
        <w:tabs>
          <w:tab w:val="left" w:pos="1152"/>
        </w:tabs>
        <w:bidi/>
        <w:jc w:val="both"/>
        <w:rPr>
          <w:rFonts w:ascii="Traditional Arabic" w:hAnsi="Traditional Arabic" w:cs="Traditional Arabic"/>
          <w:sz w:val="28"/>
          <w:szCs w:val="28"/>
        </w:rPr>
      </w:pPr>
      <w:r w:rsidRPr="00FA4398">
        <w:rPr>
          <w:rFonts w:ascii="Traditional Arabic" w:hAnsi="Traditional Arabic" w:cs="Traditional Arabic"/>
          <w:sz w:val="28"/>
          <w:szCs w:val="28"/>
          <w:rtl/>
        </w:rPr>
        <w:t>معلومة التاريخ،</w:t>
      </w:r>
    </w:p>
    <w:p w14:paraId="07C5022E" w14:textId="77777777" w:rsidR="00FA4398" w:rsidRPr="00FA4398" w:rsidRDefault="00FA4398" w:rsidP="00FA4398">
      <w:pPr>
        <w:numPr>
          <w:ilvl w:val="1"/>
          <w:numId w:val="28"/>
        </w:numPr>
        <w:tabs>
          <w:tab w:val="left" w:pos="1152"/>
        </w:tabs>
        <w:bidi/>
        <w:jc w:val="both"/>
        <w:rPr>
          <w:rFonts w:ascii="Traditional Arabic" w:hAnsi="Traditional Arabic" w:cs="Traditional Arabic"/>
          <w:sz w:val="28"/>
          <w:szCs w:val="28"/>
        </w:rPr>
      </w:pPr>
      <w:r w:rsidRPr="00FA4398">
        <w:rPr>
          <w:rFonts w:ascii="Traditional Arabic" w:hAnsi="Traditional Arabic" w:cs="Traditional Arabic"/>
          <w:sz w:val="28"/>
          <w:szCs w:val="28"/>
          <w:rtl/>
        </w:rPr>
        <w:t>خالية من الاجتزاء،</w:t>
      </w:r>
    </w:p>
    <w:p w14:paraId="2BF14EAB" w14:textId="77777777" w:rsidR="00FA4398" w:rsidRPr="00FA4398" w:rsidRDefault="00FA4398" w:rsidP="00FA4398">
      <w:pPr>
        <w:numPr>
          <w:ilvl w:val="1"/>
          <w:numId w:val="28"/>
        </w:numPr>
        <w:tabs>
          <w:tab w:val="left" w:pos="1152"/>
        </w:tabs>
        <w:bidi/>
        <w:jc w:val="both"/>
        <w:rPr>
          <w:rFonts w:ascii="Traditional Arabic" w:hAnsi="Traditional Arabic" w:cs="Traditional Arabic"/>
          <w:sz w:val="28"/>
          <w:szCs w:val="28"/>
        </w:rPr>
      </w:pPr>
      <w:r w:rsidRPr="00FA4398">
        <w:rPr>
          <w:rFonts w:ascii="Traditional Arabic" w:hAnsi="Traditional Arabic" w:cs="Traditional Arabic"/>
          <w:sz w:val="28"/>
          <w:szCs w:val="28"/>
          <w:rtl/>
        </w:rPr>
        <w:t>مثبتة بنسبة يقينية للمتهم</w:t>
      </w:r>
      <w:r w:rsidRPr="00FA4398">
        <w:rPr>
          <w:rFonts w:ascii="Traditional Arabic" w:hAnsi="Traditional Arabic" w:cs="Traditional Arabic"/>
          <w:sz w:val="28"/>
          <w:szCs w:val="28"/>
        </w:rPr>
        <w:t xml:space="preserve">. </w:t>
      </w:r>
      <w:r w:rsidRPr="00FA4398">
        <w:rPr>
          <w:rFonts w:ascii="Traditional Arabic" w:hAnsi="Traditional Arabic" w:cs="Traditional Arabic"/>
          <w:sz w:val="28"/>
          <w:szCs w:val="28"/>
          <w:rtl/>
        </w:rPr>
        <w:t>وأي إخلال بأحد هذه الشروط يُسقط حجية التسجيل، ولا يُرتب عليه إدانة بنص المادة (3) من نظام الإجراءات الجزائية</w:t>
      </w:r>
      <w:r w:rsidRPr="00FA4398">
        <w:rPr>
          <w:rFonts w:ascii="Traditional Arabic" w:hAnsi="Traditional Arabic" w:cs="Traditional Arabic"/>
          <w:sz w:val="28"/>
          <w:szCs w:val="28"/>
        </w:rPr>
        <w:t>.</w:t>
      </w:r>
    </w:p>
    <w:p w14:paraId="6363B330" w14:textId="77777777" w:rsidR="00FA4398" w:rsidRPr="00FA4398" w:rsidRDefault="00FA4398" w:rsidP="00FA4398">
      <w:pPr>
        <w:tabs>
          <w:tab w:val="left" w:pos="1152"/>
        </w:tabs>
        <w:bidi/>
        <w:jc w:val="both"/>
        <w:rPr>
          <w:rFonts w:ascii="Traditional Arabic" w:hAnsi="Traditional Arabic" w:cs="Traditional Arabic"/>
          <w:b/>
          <w:bCs/>
          <w:sz w:val="28"/>
          <w:szCs w:val="28"/>
        </w:rPr>
      </w:pPr>
      <w:r w:rsidRPr="00FA4398">
        <w:rPr>
          <w:rFonts w:ascii="Traditional Arabic" w:hAnsi="Traditional Arabic" w:cs="Traditional Arabic"/>
          <w:b/>
          <w:bCs/>
          <w:sz w:val="28"/>
          <w:szCs w:val="28"/>
          <w:rtl/>
        </w:rPr>
        <w:t>ثالثًا: إغفال المحكمة مناقشة دفوع الدفاع الجوهرية</w:t>
      </w:r>
    </w:p>
    <w:p w14:paraId="02DE13B4" w14:textId="77777777" w:rsidR="00FA4398" w:rsidRPr="00FA4398" w:rsidRDefault="00FA4398" w:rsidP="00FA4398">
      <w:pPr>
        <w:numPr>
          <w:ilvl w:val="0"/>
          <w:numId w:val="29"/>
        </w:numPr>
        <w:tabs>
          <w:tab w:val="left" w:pos="1152"/>
        </w:tabs>
        <w:bidi/>
        <w:jc w:val="both"/>
        <w:rPr>
          <w:rFonts w:ascii="Traditional Arabic" w:hAnsi="Traditional Arabic" w:cs="Traditional Arabic"/>
          <w:sz w:val="28"/>
          <w:szCs w:val="28"/>
        </w:rPr>
      </w:pPr>
      <w:r w:rsidRPr="00FA4398">
        <w:rPr>
          <w:rFonts w:ascii="Traditional Arabic" w:hAnsi="Traditional Arabic" w:cs="Traditional Arabic"/>
          <w:sz w:val="28"/>
          <w:szCs w:val="28"/>
          <w:rtl/>
        </w:rPr>
        <w:t>قدّمنا أمام المحكمة جملة من الدفوع القاطعة في صلب الدعوى، منها</w:t>
      </w:r>
      <w:r w:rsidRPr="00FA4398">
        <w:rPr>
          <w:rFonts w:ascii="Traditional Arabic" w:hAnsi="Traditional Arabic" w:cs="Traditional Arabic"/>
          <w:sz w:val="28"/>
          <w:szCs w:val="28"/>
        </w:rPr>
        <w:t>:</w:t>
      </w:r>
    </w:p>
    <w:p w14:paraId="1CA69D03" w14:textId="77777777" w:rsidR="00FA4398" w:rsidRPr="00FA4398" w:rsidRDefault="00FA4398" w:rsidP="00FA4398">
      <w:pPr>
        <w:numPr>
          <w:ilvl w:val="1"/>
          <w:numId w:val="29"/>
        </w:numPr>
        <w:tabs>
          <w:tab w:val="left" w:pos="1152"/>
        </w:tabs>
        <w:bidi/>
        <w:jc w:val="both"/>
        <w:rPr>
          <w:rFonts w:ascii="Traditional Arabic" w:hAnsi="Traditional Arabic" w:cs="Traditional Arabic"/>
          <w:sz w:val="28"/>
          <w:szCs w:val="28"/>
        </w:rPr>
      </w:pPr>
      <w:r w:rsidRPr="00FA4398">
        <w:rPr>
          <w:rFonts w:ascii="Traditional Arabic" w:hAnsi="Traditional Arabic" w:cs="Traditional Arabic"/>
          <w:b/>
          <w:bCs/>
          <w:sz w:val="28"/>
          <w:szCs w:val="28"/>
          <w:rtl/>
        </w:rPr>
        <w:lastRenderedPageBreak/>
        <w:t>دفع بوجود دافع شخصي وعداوة وظيفية بين موكلي والمدعيتين</w:t>
      </w:r>
      <w:r w:rsidRPr="00FA4398">
        <w:rPr>
          <w:rFonts w:ascii="Traditional Arabic" w:hAnsi="Traditional Arabic" w:cs="Traditional Arabic"/>
          <w:sz w:val="28"/>
          <w:szCs w:val="28"/>
          <w:rtl/>
        </w:rPr>
        <w:t>، نتيجة توبيخ موثّق من موكلي لهما، وتوصية بعدم تجديد العقد، وثبوت ذلك بشهادة شاهدين أحدهما مسؤول الموارد البشرية</w:t>
      </w:r>
      <w:r w:rsidRPr="00FA4398">
        <w:rPr>
          <w:rFonts w:ascii="Traditional Arabic" w:hAnsi="Traditional Arabic" w:cs="Traditional Arabic"/>
          <w:sz w:val="28"/>
          <w:szCs w:val="28"/>
        </w:rPr>
        <w:t>.</w:t>
      </w:r>
    </w:p>
    <w:p w14:paraId="3EE22D8C" w14:textId="77777777" w:rsidR="00FA4398" w:rsidRPr="00FA4398" w:rsidRDefault="00FA4398" w:rsidP="00FA4398">
      <w:pPr>
        <w:numPr>
          <w:ilvl w:val="1"/>
          <w:numId w:val="29"/>
        </w:numPr>
        <w:tabs>
          <w:tab w:val="left" w:pos="1152"/>
        </w:tabs>
        <w:bidi/>
        <w:jc w:val="both"/>
        <w:rPr>
          <w:rFonts w:ascii="Traditional Arabic" w:hAnsi="Traditional Arabic" w:cs="Traditional Arabic"/>
          <w:sz w:val="28"/>
          <w:szCs w:val="28"/>
        </w:rPr>
      </w:pPr>
      <w:r w:rsidRPr="00FA4398">
        <w:rPr>
          <w:rFonts w:ascii="Traditional Arabic" w:hAnsi="Traditional Arabic" w:cs="Traditional Arabic"/>
          <w:b/>
          <w:bCs/>
          <w:sz w:val="28"/>
          <w:szCs w:val="28"/>
          <w:rtl/>
        </w:rPr>
        <w:t>دفع بعدم موثوقية التسجيلات المقدمة</w:t>
      </w:r>
      <w:r w:rsidRPr="00FA4398">
        <w:rPr>
          <w:rFonts w:ascii="Traditional Arabic" w:hAnsi="Traditional Arabic" w:cs="Traditional Arabic"/>
          <w:sz w:val="28"/>
          <w:szCs w:val="28"/>
          <w:rtl/>
        </w:rPr>
        <w:t>، وطعن في مصدرها ومحتواها وتوقيت تقديمها، وطلب عرضها على خبير فني</w:t>
      </w:r>
      <w:r w:rsidRPr="00FA4398">
        <w:rPr>
          <w:rFonts w:ascii="Traditional Arabic" w:hAnsi="Traditional Arabic" w:cs="Traditional Arabic"/>
          <w:sz w:val="28"/>
          <w:szCs w:val="28"/>
        </w:rPr>
        <w:t>.</w:t>
      </w:r>
    </w:p>
    <w:p w14:paraId="05FA19D9" w14:textId="77777777" w:rsidR="00FA4398" w:rsidRPr="00FA4398" w:rsidRDefault="00FA4398" w:rsidP="00FA4398">
      <w:pPr>
        <w:numPr>
          <w:ilvl w:val="1"/>
          <w:numId w:val="29"/>
        </w:numPr>
        <w:tabs>
          <w:tab w:val="left" w:pos="1152"/>
        </w:tabs>
        <w:bidi/>
        <w:jc w:val="both"/>
        <w:rPr>
          <w:rFonts w:ascii="Traditional Arabic" w:hAnsi="Traditional Arabic" w:cs="Traditional Arabic"/>
          <w:sz w:val="28"/>
          <w:szCs w:val="28"/>
        </w:rPr>
      </w:pPr>
      <w:r w:rsidRPr="00FA4398">
        <w:rPr>
          <w:rFonts w:ascii="Traditional Arabic" w:hAnsi="Traditional Arabic" w:cs="Traditional Arabic"/>
          <w:b/>
          <w:bCs/>
          <w:sz w:val="28"/>
          <w:szCs w:val="28"/>
          <w:rtl/>
        </w:rPr>
        <w:t>دفع بانتفاء القصد الجنسي، وعدم قيام العلاقة السببية بين الفعل والنية المحرّمة</w:t>
      </w:r>
      <w:r w:rsidRPr="00FA4398">
        <w:rPr>
          <w:rFonts w:ascii="Traditional Arabic" w:hAnsi="Traditional Arabic" w:cs="Traditional Arabic"/>
          <w:sz w:val="28"/>
          <w:szCs w:val="28"/>
        </w:rPr>
        <w:t>.</w:t>
      </w:r>
    </w:p>
    <w:p w14:paraId="66BE3FF8" w14:textId="77777777" w:rsidR="00FA4398" w:rsidRPr="00FA4398" w:rsidRDefault="00FA4398" w:rsidP="00FA4398">
      <w:pPr>
        <w:numPr>
          <w:ilvl w:val="0"/>
          <w:numId w:val="29"/>
        </w:numPr>
        <w:tabs>
          <w:tab w:val="left" w:pos="1152"/>
        </w:tabs>
        <w:bidi/>
        <w:jc w:val="both"/>
        <w:rPr>
          <w:rFonts w:ascii="Traditional Arabic" w:hAnsi="Traditional Arabic" w:cs="Traditional Arabic"/>
          <w:sz w:val="28"/>
          <w:szCs w:val="28"/>
        </w:rPr>
      </w:pPr>
      <w:r w:rsidRPr="00FA4398">
        <w:rPr>
          <w:rFonts w:ascii="Traditional Arabic" w:hAnsi="Traditional Arabic" w:cs="Traditional Arabic"/>
          <w:sz w:val="28"/>
          <w:szCs w:val="28"/>
          <w:rtl/>
        </w:rPr>
        <w:t xml:space="preserve">إلا أن المحكمة لم تُفرد هذه الدفوع بأي فقرة من فقرات الحكم، ولم تُعالجها بالرد، لا صراحة ولا ضمنًا، ولم تُفنّد أثرها في التكييف، بل </w:t>
      </w:r>
      <w:r w:rsidRPr="00FA4398">
        <w:rPr>
          <w:rFonts w:ascii="Traditional Arabic" w:hAnsi="Traditional Arabic" w:cs="Traditional Arabic"/>
          <w:b/>
          <w:bCs/>
          <w:sz w:val="28"/>
          <w:szCs w:val="28"/>
          <w:rtl/>
        </w:rPr>
        <w:t>بنت حكمها على أقوال المدعيات المجتزأة، دون موازنة موضوعية مع ما قدمه الدفاع من قرائن وشهادات</w:t>
      </w:r>
      <w:r w:rsidRPr="00FA4398">
        <w:rPr>
          <w:rFonts w:ascii="Traditional Arabic" w:hAnsi="Traditional Arabic" w:cs="Traditional Arabic"/>
          <w:sz w:val="28"/>
          <w:szCs w:val="28"/>
        </w:rPr>
        <w:t>.</w:t>
      </w:r>
    </w:p>
    <w:p w14:paraId="2BA8F865" w14:textId="77777777" w:rsidR="00FA4398" w:rsidRPr="00FA4398" w:rsidRDefault="00FA4398" w:rsidP="00FA4398">
      <w:pPr>
        <w:tabs>
          <w:tab w:val="left" w:pos="1152"/>
        </w:tabs>
        <w:bidi/>
        <w:jc w:val="both"/>
        <w:rPr>
          <w:rFonts w:ascii="Traditional Arabic" w:hAnsi="Traditional Arabic" w:cs="Traditional Arabic"/>
          <w:b/>
          <w:bCs/>
          <w:sz w:val="28"/>
          <w:szCs w:val="28"/>
        </w:rPr>
      </w:pPr>
      <w:r w:rsidRPr="00FA4398">
        <w:rPr>
          <w:rFonts w:ascii="Traditional Arabic" w:hAnsi="Traditional Arabic" w:cs="Traditional Arabic"/>
          <w:b/>
          <w:bCs/>
          <w:sz w:val="28"/>
          <w:szCs w:val="28"/>
          <w:rtl/>
        </w:rPr>
        <w:t>رابعًا: غياب التوازن الإجرائي في تقييم الأدلة وتقديم القرائن</w:t>
      </w:r>
    </w:p>
    <w:p w14:paraId="0C4DF25E" w14:textId="77777777" w:rsidR="00FA4398" w:rsidRPr="00FA4398" w:rsidRDefault="00FA4398" w:rsidP="00FA4398">
      <w:pPr>
        <w:numPr>
          <w:ilvl w:val="0"/>
          <w:numId w:val="30"/>
        </w:numPr>
        <w:tabs>
          <w:tab w:val="left" w:pos="1152"/>
        </w:tabs>
        <w:bidi/>
        <w:jc w:val="both"/>
        <w:rPr>
          <w:rFonts w:ascii="Traditional Arabic" w:hAnsi="Traditional Arabic" w:cs="Traditional Arabic"/>
          <w:sz w:val="28"/>
          <w:szCs w:val="28"/>
        </w:rPr>
      </w:pPr>
      <w:r w:rsidRPr="00FA4398">
        <w:rPr>
          <w:rFonts w:ascii="Traditional Arabic" w:hAnsi="Traditional Arabic" w:cs="Traditional Arabic"/>
          <w:sz w:val="28"/>
          <w:szCs w:val="28"/>
          <w:rtl/>
        </w:rPr>
        <w:t xml:space="preserve">المحكمة رجّحت أقوال المدعيتين، رغم تناقضها مع بعضها، ووجود خصومة سابقة، بينما </w:t>
      </w:r>
      <w:r w:rsidRPr="00FA4398">
        <w:rPr>
          <w:rFonts w:ascii="Traditional Arabic" w:hAnsi="Traditional Arabic" w:cs="Traditional Arabic"/>
          <w:b/>
          <w:bCs/>
          <w:sz w:val="28"/>
          <w:szCs w:val="28"/>
          <w:rtl/>
        </w:rPr>
        <w:t>لم تولِ الوزن النظامي الكافي لشهادة شهود الدفاع، أو دفوع الإنكار، أو قرينة الاستقامة السلوكية للمتهم</w:t>
      </w:r>
      <w:r w:rsidRPr="00FA4398">
        <w:rPr>
          <w:rFonts w:ascii="Traditional Arabic" w:hAnsi="Traditional Arabic" w:cs="Traditional Arabic"/>
          <w:sz w:val="28"/>
          <w:szCs w:val="28"/>
          <w:rtl/>
        </w:rPr>
        <w:t>، والذي أمضى (13) سنة في المملكة دون سوابق، ويُقيم مع أسرته بهدوء</w:t>
      </w:r>
      <w:r w:rsidRPr="00FA4398">
        <w:rPr>
          <w:rFonts w:ascii="Traditional Arabic" w:hAnsi="Traditional Arabic" w:cs="Traditional Arabic"/>
          <w:sz w:val="28"/>
          <w:szCs w:val="28"/>
        </w:rPr>
        <w:t>.</w:t>
      </w:r>
    </w:p>
    <w:p w14:paraId="2557B20D" w14:textId="77777777" w:rsidR="00FA4398" w:rsidRPr="00FA4398" w:rsidRDefault="00FA4398" w:rsidP="00FA4398">
      <w:pPr>
        <w:numPr>
          <w:ilvl w:val="0"/>
          <w:numId w:val="30"/>
        </w:numPr>
        <w:tabs>
          <w:tab w:val="left" w:pos="1152"/>
        </w:tabs>
        <w:bidi/>
        <w:jc w:val="both"/>
        <w:rPr>
          <w:rFonts w:ascii="Traditional Arabic" w:hAnsi="Traditional Arabic" w:cs="Traditional Arabic"/>
          <w:sz w:val="28"/>
          <w:szCs w:val="28"/>
        </w:rPr>
      </w:pPr>
      <w:r w:rsidRPr="00FA4398">
        <w:rPr>
          <w:rFonts w:ascii="Traditional Arabic" w:hAnsi="Traditional Arabic" w:cs="Traditional Arabic"/>
          <w:sz w:val="28"/>
          <w:szCs w:val="28"/>
          <w:rtl/>
        </w:rPr>
        <w:t xml:space="preserve">إن </w:t>
      </w:r>
      <w:r w:rsidRPr="00FA4398">
        <w:rPr>
          <w:rFonts w:ascii="Traditional Arabic" w:hAnsi="Traditional Arabic" w:cs="Traditional Arabic"/>
          <w:b/>
          <w:bCs/>
          <w:sz w:val="28"/>
          <w:szCs w:val="28"/>
          <w:rtl/>
        </w:rPr>
        <w:t>مبدأ العدالة الإجرائية</w:t>
      </w:r>
      <w:r w:rsidRPr="00FA4398">
        <w:rPr>
          <w:rFonts w:ascii="Traditional Arabic" w:hAnsi="Traditional Arabic" w:cs="Traditional Arabic"/>
          <w:sz w:val="28"/>
          <w:szCs w:val="28"/>
          <w:rtl/>
        </w:rPr>
        <w:t xml:space="preserve"> يقتضي أن يكون الدفاع في كفة متوازنة مع الادعاء، من حيث العرض، والمناقشة، والترجيح، وهو ما اختلّ في الحكم محل الاعتراض، مما يُظهره مجافيًا لأصول المحاكمة العادلة</w:t>
      </w:r>
      <w:r w:rsidRPr="00FA4398">
        <w:rPr>
          <w:rFonts w:ascii="Traditional Arabic" w:hAnsi="Traditional Arabic" w:cs="Traditional Arabic"/>
          <w:sz w:val="28"/>
          <w:szCs w:val="28"/>
        </w:rPr>
        <w:t>.</w:t>
      </w:r>
    </w:p>
    <w:p w14:paraId="0D16D01E" w14:textId="017E8066" w:rsidR="00FA4398" w:rsidRPr="00FA4398" w:rsidRDefault="00FA4398" w:rsidP="00FA4398">
      <w:pPr>
        <w:tabs>
          <w:tab w:val="left" w:pos="1152"/>
        </w:tabs>
        <w:bidi/>
        <w:jc w:val="both"/>
        <w:rPr>
          <w:rFonts w:ascii="Traditional Arabic" w:hAnsi="Traditional Arabic" w:cs="Traditional Arabic"/>
          <w:sz w:val="28"/>
          <w:szCs w:val="28"/>
          <w:rtl/>
        </w:rPr>
      </w:pPr>
      <w:r w:rsidRPr="00FA4398">
        <w:rPr>
          <w:rFonts w:ascii="Traditional Arabic" w:hAnsi="Traditional Arabic" w:cs="Traditional Arabic"/>
          <w:sz w:val="28"/>
          <w:szCs w:val="28"/>
          <w:rtl/>
        </w:rPr>
        <w:t>وبعد العرض المفصل لأوجه الاعتراض، وبيان ما شاب الحكم محل الطعن من مخالفات جوهرية في التكييف، وقصور بيّن في التسبيب، واعتماد على قرائن لا ترقى لمرتبة الدليل المعتبر، وافتقار للركن المعنوي المكوِّن للجريمة محل الإدانة، فضلًا عما تضمنه من إخلال صريح بحقوق الدفاع، وغياب لضمانات المواجهة القضائية العادلة، وما تبيّن من تناقض الدليل وتعدّد الدوافع الشخصية لدى المشتكيات، مما يُسقط حياد أقوالهن ويُضعف حجيتها، فإن هذا الحكم – برمّته – لا يصمد أمام رقابة القضاء الاستئنافي، ويستوجب النقض والإلغاء وفقًا لمقتضى العدالة، ومبادئ المحاكمة المنصوص عليها نظامًا وشرعًا</w:t>
      </w:r>
      <w:r w:rsidRPr="00FA4398">
        <w:rPr>
          <w:rFonts w:ascii="Traditional Arabic" w:hAnsi="Traditional Arabic" w:cs="Traditional Arabic"/>
          <w:sz w:val="28"/>
          <w:szCs w:val="28"/>
        </w:rPr>
        <w:t>.</w:t>
      </w:r>
      <w:r>
        <w:rPr>
          <w:rFonts w:ascii="Traditional Arabic" w:hAnsi="Traditional Arabic" w:cs="Traditional Arabic" w:hint="cs"/>
          <w:sz w:val="28"/>
          <w:szCs w:val="28"/>
          <w:rtl/>
        </w:rPr>
        <w:t xml:space="preserve"> </w:t>
      </w:r>
      <w:r w:rsidRPr="00FA4398">
        <w:rPr>
          <w:rFonts w:ascii="Traditional Arabic" w:hAnsi="Traditional Arabic" w:cs="Traditional Arabic"/>
          <w:sz w:val="28"/>
          <w:szCs w:val="28"/>
          <w:rtl/>
        </w:rPr>
        <w:t>وقد استقر العمل القضائي في المملكة، من خلال أحكام المحكمة العليا، على أن الأحكام الجزائية يجب أن تُبنى على اليقين لا على الاحتمال، وعلى البينة القاطعة لا على الظن، وعلى المحاكمة العادلة لا على الاستخلاص الناقص. وإن كل خلل في التكييف، أو قصور في تسبيب الإدانة، أو حرمان من ضمانات الدفاع، يُعد موجبًا للنقض، خاصة في الدعاوى ذات الطبيعة التعزيرية التي تمس العرض والكرامة، وتستوجب تحريًا زائدًا واطمئنانًا قضائيًا راسخًا</w:t>
      </w:r>
      <w:r w:rsidRPr="00FA4398">
        <w:rPr>
          <w:rFonts w:ascii="Traditional Arabic" w:hAnsi="Traditional Arabic" w:cs="Traditional Arabic"/>
          <w:sz w:val="28"/>
          <w:szCs w:val="28"/>
        </w:rPr>
        <w:t>.</w:t>
      </w:r>
    </w:p>
    <w:p w14:paraId="4D8D1F8B" w14:textId="006870CF" w:rsidR="00FA4398" w:rsidRPr="00FA4398" w:rsidRDefault="00FA4398" w:rsidP="00FA4398">
      <w:pPr>
        <w:tabs>
          <w:tab w:val="left" w:pos="1152"/>
        </w:tabs>
        <w:bidi/>
        <w:jc w:val="both"/>
        <w:rPr>
          <w:rFonts w:ascii="Traditional Arabic" w:hAnsi="Traditional Arabic" w:cs="Traditional Arabic"/>
          <w:sz w:val="28"/>
          <w:szCs w:val="28"/>
          <w:rtl/>
        </w:rPr>
      </w:pPr>
      <w:r>
        <w:rPr>
          <w:rFonts w:ascii="Traditional Arabic" w:hAnsi="Traditional Arabic" w:cs="Traditional Arabic"/>
          <w:sz w:val="28"/>
          <w:szCs w:val="28"/>
          <w:rtl/>
        </w:rPr>
        <w:t>وبناءً</w:t>
      </w:r>
      <w:r>
        <w:rPr>
          <w:rFonts w:ascii="Traditional Arabic" w:hAnsi="Traditional Arabic" w:cs="Traditional Arabic" w:hint="cs"/>
          <w:sz w:val="28"/>
          <w:szCs w:val="28"/>
          <w:rtl/>
        </w:rPr>
        <w:t xml:space="preserve"> </w:t>
      </w:r>
      <w:r w:rsidRPr="00FA4398">
        <w:rPr>
          <w:rFonts w:ascii="Traditional Arabic" w:hAnsi="Traditional Arabic" w:cs="Traditional Arabic"/>
          <w:sz w:val="28"/>
          <w:szCs w:val="28"/>
          <w:rtl/>
        </w:rPr>
        <w:t>عليه، نلتمس من فضيلتكم ما يلي</w:t>
      </w:r>
      <w:r w:rsidRPr="00FA4398">
        <w:rPr>
          <w:rFonts w:ascii="Traditional Arabic" w:hAnsi="Traditional Arabic" w:cs="Traditional Arabic"/>
          <w:sz w:val="28"/>
          <w:szCs w:val="28"/>
        </w:rPr>
        <w:t>:</w:t>
      </w:r>
    </w:p>
    <w:p w14:paraId="2DE25EFF" w14:textId="024C7809" w:rsidR="00FA4398" w:rsidRPr="00FA4398" w:rsidRDefault="00FA4398" w:rsidP="00FA4398">
      <w:pPr>
        <w:tabs>
          <w:tab w:val="left" w:pos="1152"/>
        </w:tabs>
        <w:bidi/>
        <w:jc w:val="both"/>
        <w:rPr>
          <w:rFonts w:ascii="Traditional Arabic" w:hAnsi="Traditional Arabic" w:cs="Traditional Arabic"/>
          <w:sz w:val="28"/>
          <w:szCs w:val="28"/>
          <w:rtl/>
        </w:rPr>
      </w:pPr>
      <w:r w:rsidRPr="00FA4398">
        <w:rPr>
          <w:rFonts w:ascii="Traditional Arabic" w:hAnsi="Traditional Arabic" w:cs="Traditional Arabic"/>
          <w:sz w:val="28"/>
          <w:szCs w:val="28"/>
          <w:rtl/>
        </w:rPr>
        <w:t>نقض الحكم محل الاعتراض برمّته، لما شابه من خلل في الأساس النظامي، وقصور في التسبيب، ومخالفة لضمانات المحاكمة</w:t>
      </w:r>
      <w:r w:rsidRPr="00FA4398">
        <w:rPr>
          <w:rFonts w:ascii="Traditional Arabic" w:hAnsi="Traditional Arabic" w:cs="Traditional Arabic"/>
          <w:sz w:val="28"/>
          <w:szCs w:val="28"/>
        </w:rPr>
        <w:t>.</w:t>
      </w:r>
    </w:p>
    <w:p w14:paraId="5916B907" w14:textId="129C4B4E" w:rsidR="00FA4398" w:rsidRPr="00FA4398" w:rsidRDefault="00FA4398" w:rsidP="00FA4398">
      <w:pPr>
        <w:tabs>
          <w:tab w:val="left" w:pos="1152"/>
        </w:tabs>
        <w:bidi/>
        <w:jc w:val="both"/>
        <w:rPr>
          <w:rFonts w:ascii="Traditional Arabic" w:hAnsi="Traditional Arabic" w:cs="Traditional Arabic"/>
          <w:sz w:val="28"/>
          <w:szCs w:val="28"/>
          <w:rtl/>
        </w:rPr>
      </w:pPr>
      <w:r w:rsidRPr="00FA4398">
        <w:rPr>
          <w:rFonts w:ascii="Traditional Arabic" w:hAnsi="Traditional Arabic" w:cs="Traditional Arabic"/>
          <w:sz w:val="28"/>
          <w:szCs w:val="28"/>
          <w:rtl/>
        </w:rPr>
        <w:t>الحكم ببراءة موكلي مما نُسب إليه، تأسيسًا على عدم ثبوت الأركان النظامية للجريمة محل الإدانة، ودرءًا للحد والتعزير بالشبهة</w:t>
      </w:r>
      <w:r w:rsidRPr="00FA4398">
        <w:rPr>
          <w:rFonts w:ascii="Traditional Arabic" w:hAnsi="Traditional Arabic" w:cs="Traditional Arabic"/>
          <w:sz w:val="28"/>
          <w:szCs w:val="28"/>
        </w:rPr>
        <w:t>.</w:t>
      </w:r>
    </w:p>
    <w:p w14:paraId="57C51589" w14:textId="77777777" w:rsidR="00FA4398" w:rsidRPr="00FA4398" w:rsidRDefault="00FA4398" w:rsidP="00FA4398">
      <w:pPr>
        <w:tabs>
          <w:tab w:val="left" w:pos="1152"/>
        </w:tabs>
        <w:bidi/>
        <w:jc w:val="both"/>
        <w:rPr>
          <w:rFonts w:ascii="Traditional Arabic" w:hAnsi="Traditional Arabic" w:cs="Traditional Arabic"/>
          <w:sz w:val="28"/>
          <w:szCs w:val="28"/>
          <w:rtl/>
        </w:rPr>
      </w:pPr>
      <w:r w:rsidRPr="00FA4398">
        <w:rPr>
          <w:rFonts w:ascii="Traditional Arabic" w:hAnsi="Traditional Arabic" w:cs="Traditional Arabic"/>
          <w:sz w:val="28"/>
          <w:szCs w:val="28"/>
          <w:rtl/>
        </w:rPr>
        <w:t>وفي حال رأت الدائرة الموقرة غير ذلك، فإننا نلتمس إعادة الدعوى إلى دائرتها الابتدائية للفصل فيها مجددًا بعد استكمال إجراءات الإثبات، وتمكين الدفاع من تقديم ما يعزز براءة موكلي ويدحض مزاعم الخصوم</w:t>
      </w:r>
      <w:r w:rsidRPr="00FA4398">
        <w:rPr>
          <w:rFonts w:ascii="Traditional Arabic" w:hAnsi="Traditional Arabic" w:cs="Traditional Arabic"/>
          <w:sz w:val="28"/>
          <w:szCs w:val="28"/>
        </w:rPr>
        <w:t>.</w:t>
      </w:r>
    </w:p>
    <w:p w14:paraId="3ED81A5C" w14:textId="77777777" w:rsidR="00FA4398" w:rsidRPr="00FA4398" w:rsidRDefault="00FA4398" w:rsidP="00FA4398">
      <w:pPr>
        <w:tabs>
          <w:tab w:val="left" w:pos="1152"/>
        </w:tabs>
        <w:bidi/>
        <w:jc w:val="both"/>
        <w:rPr>
          <w:rFonts w:ascii="Traditional Arabic" w:hAnsi="Traditional Arabic" w:cs="Traditional Arabic"/>
          <w:sz w:val="28"/>
          <w:szCs w:val="28"/>
          <w:rtl/>
        </w:rPr>
      </w:pPr>
    </w:p>
    <w:p w14:paraId="0378235A" w14:textId="77777777" w:rsidR="00FA4398" w:rsidRPr="00FA4398" w:rsidRDefault="00FA4398" w:rsidP="00FA4398">
      <w:pPr>
        <w:tabs>
          <w:tab w:val="left" w:pos="1152"/>
        </w:tabs>
        <w:bidi/>
        <w:jc w:val="both"/>
        <w:rPr>
          <w:rFonts w:ascii="Traditional Arabic" w:hAnsi="Traditional Arabic" w:cs="Traditional Arabic"/>
          <w:sz w:val="28"/>
          <w:szCs w:val="28"/>
          <w:rtl/>
        </w:rPr>
      </w:pPr>
      <w:r w:rsidRPr="00FA4398">
        <w:rPr>
          <w:rFonts w:ascii="Traditional Arabic" w:hAnsi="Traditional Arabic" w:cs="Traditional Arabic"/>
          <w:sz w:val="28"/>
          <w:szCs w:val="28"/>
          <w:rtl/>
        </w:rPr>
        <w:lastRenderedPageBreak/>
        <w:t>الإفراج عن موكلي إلى حين الفصل النهائي في الدعوى، استنادًا إلى قرينة البراءة، وحسن سلوكه، ووجوده الأسري المستقر داخل المملكة</w:t>
      </w:r>
      <w:r w:rsidRPr="00FA4398">
        <w:rPr>
          <w:rFonts w:ascii="Traditional Arabic" w:hAnsi="Traditional Arabic" w:cs="Traditional Arabic"/>
          <w:sz w:val="28"/>
          <w:szCs w:val="28"/>
        </w:rPr>
        <w:t>.</w:t>
      </w:r>
    </w:p>
    <w:p w14:paraId="32F0E4B3" w14:textId="77777777" w:rsidR="00FA4398" w:rsidRPr="00FA4398" w:rsidRDefault="00FA4398" w:rsidP="00FA4398">
      <w:pPr>
        <w:tabs>
          <w:tab w:val="left" w:pos="1152"/>
        </w:tabs>
        <w:bidi/>
        <w:jc w:val="both"/>
        <w:rPr>
          <w:rFonts w:ascii="Traditional Arabic" w:hAnsi="Traditional Arabic" w:cs="Traditional Arabic"/>
          <w:sz w:val="28"/>
          <w:szCs w:val="28"/>
          <w:rtl/>
        </w:rPr>
      </w:pPr>
    </w:p>
    <w:p w14:paraId="5E8278EC" w14:textId="77777777" w:rsidR="00FA4398" w:rsidRPr="00FA4398" w:rsidRDefault="00FA4398" w:rsidP="00FA4398">
      <w:pPr>
        <w:tabs>
          <w:tab w:val="left" w:pos="1152"/>
        </w:tabs>
        <w:bidi/>
        <w:jc w:val="both"/>
        <w:rPr>
          <w:rFonts w:ascii="Traditional Arabic" w:hAnsi="Traditional Arabic" w:cs="Traditional Arabic"/>
          <w:sz w:val="28"/>
          <w:szCs w:val="28"/>
          <w:rtl/>
        </w:rPr>
      </w:pPr>
      <w:r w:rsidRPr="00FA4398">
        <w:rPr>
          <w:rFonts w:ascii="Traditional Arabic" w:hAnsi="Traditional Arabic" w:cs="Traditional Arabic"/>
          <w:sz w:val="28"/>
          <w:szCs w:val="28"/>
          <w:rtl/>
        </w:rPr>
        <w:t>وفي الختام، نُعلي بين أيديكم مقام العدل، ونضع في ميزانكم أمانة الفصل بين الناس بالحق، راجين أن يُبنى الحكم على محقّق اليقين، لا موهوم الظن، وأن يُنصف المتهم العادل حين لا تثبت عليه الجريمة بنص ولا دليل، فإن القاعدة الشرعية والنظامية الجارية تقضي بأن: "درء المفسدة أولى من جلب المصلحة، والشبهة تدرأ الحد والتعزير</w:t>
      </w:r>
      <w:r w:rsidRPr="00FA4398">
        <w:rPr>
          <w:rFonts w:ascii="Traditional Arabic" w:hAnsi="Traditional Arabic" w:cs="Traditional Arabic"/>
          <w:sz w:val="28"/>
          <w:szCs w:val="28"/>
        </w:rPr>
        <w:t>."</w:t>
      </w:r>
    </w:p>
    <w:p w14:paraId="4E65E407" w14:textId="77777777" w:rsidR="00FA4398" w:rsidRPr="00FA4398" w:rsidRDefault="00FA4398" w:rsidP="00FA4398">
      <w:pPr>
        <w:tabs>
          <w:tab w:val="left" w:pos="1152"/>
        </w:tabs>
        <w:bidi/>
        <w:jc w:val="both"/>
        <w:rPr>
          <w:rFonts w:ascii="Traditional Arabic" w:hAnsi="Traditional Arabic" w:cs="Traditional Arabic"/>
          <w:sz w:val="28"/>
          <w:szCs w:val="28"/>
          <w:rtl/>
        </w:rPr>
      </w:pPr>
    </w:p>
    <w:p w14:paraId="35E9C8C5" w14:textId="77777777" w:rsidR="00FA4398" w:rsidRPr="00FA4398" w:rsidRDefault="00FA4398" w:rsidP="00FA4398">
      <w:pPr>
        <w:tabs>
          <w:tab w:val="left" w:pos="1152"/>
        </w:tabs>
        <w:bidi/>
        <w:jc w:val="both"/>
        <w:rPr>
          <w:rFonts w:ascii="Traditional Arabic" w:hAnsi="Traditional Arabic" w:cs="Traditional Arabic"/>
          <w:sz w:val="28"/>
          <w:szCs w:val="28"/>
          <w:rtl/>
        </w:rPr>
      </w:pPr>
      <w:r w:rsidRPr="00FA4398">
        <w:rPr>
          <w:rFonts w:ascii="Traditional Arabic" w:hAnsi="Traditional Arabic" w:cs="Traditional Arabic"/>
          <w:sz w:val="28"/>
          <w:szCs w:val="28"/>
          <w:rtl/>
        </w:rPr>
        <w:t>والله وليّ التوفيق،،</w:t>
      </w:r>
    </w:p>
    <w:p w14:paraId="64C7FA71" w14:textId="77777777" w:rsidR="00FA4398" w:rsidRPr="00FA4398" w:rsidRDefault="00FA4398" w:rsidP="00FA4398">
      <w:pPr>
        <w:tabs>
          <w:tab w:val="left" w:pos="1152"/>
        </w:tabs>
        <w:bidi/>
        <w:jc w:val="both"/>
        <w:rPr>
          <w:rFonts w:ascii="Traditional Arabic" w:hAnsi="Traditional Arabic" w:cs="Traditional Arabic"/>
          <w:sz w:val="28"/>
          <w:szCs w:val="28"/>
          <w:rtl/>
        </w:rPr>
      </w:pPr>
    </w:p>
    <w:p w14:paraId="66DFA8D3" w14:textId="77777777" w:rsidR="00FA4398" w:rsidRPr="00FA4398" w:rsidRDefault="00FA4398" w:rsidP="00FA4398">
      <w:pPr>
        <w:tabs>
          <w:tab w:val="left" w:pos="1152"/>
        </w:tabs>
        <w:bidi/>
        <w:jc w:val="both"/>
        <w:rPr>
          <w:rFonts w:ascii="Traditional Arabic" w:hAnsi="Traditional Arabic" w:cs="Traditional Arabic"/>
          <w:sz w:val="28"/>
          <w:szCs w:val="28"/>
          <w:rtl/>
        </w:rPr>
      </w:pPr>
      <w:r w:rsidRPr="00FA4398">
        <w:rPr>
          <w:rFonts w:ascii="Traditional Arabic" w:hAnsi="Traditional Arabic" w:cs="Traditional Arabic"/>
          <w:sz w:val="28"/>
          <w:szCs w:val="28"/>
          <w:rtl/>
        </w:rPr>
        <w:t>المحامية/ جواهر الحارثي</w:t>
      </w:r>
    </w:p>
    <w:p w14:paraId="2D5C9672" w14:textId="77777777" w:rsidR="00FA4398" w:rsidRPr="00FA4398" w:rsidRDefault="00FA4398" w:rsidP="00FA4398">
      <w:pPr>
        <w:tabs>
          <w:tab w:val="left" w:pos="1152"/>
        </w:tabs>
        <w:bidi/>
        <w:jc w:val="both"/>
        <w:rPr>
          <w:rFonts w:ascii="Traditional Arabic" w:hAnsi="Traditional Arabic" w:cs="Traditional Arabic"/>
          <w:sz w:val="28"/>
          <w:szCs w:val="28"/>
          <w:rtl/>
        </w:rPr>
      </w:pPr>
      <w:r w:rsidRPr="00FA4398">
        <w:rPr>
          <w:rFonts w:ascii="Traditional Arabic" w:hAnsi="Traditional Arabic" w:cs="Traditional Arabic"/>
          <w:sz w:val="28"/>
          <w:szCs w:val="28"/>
          <w:rtl/>
        </w:rPr>
        <w:t>وكيـلة المدعى عليه: أحمد حلمي محمود عمر</w:t>
      </w:r>
    </w:p>
    <w:p w14:paraId="36FBF167" w14:textId="7C39A252" w:rsidR="0090441B" w:rsidRPr="00FA4398" w:rsidRDefault="0090441B" w:rsidP="008329FE">
      <w:pPr>
        <w:tabs>
          <w:tab w:val="left" w:pos="1152"/>
        </w:tabs>
        <w:bidi/>
        <w:jc w:val="both"/>
        <w:rPr>
          <w:rFonts w:ascii="Traditional Arabic" w:hAnsi="Traditional Arabic" w:cs="Traditional Arabic"/>
          <w:sz w:val="28"/>
          <w:szCs w:val="28"/>
        </w:rPr>
      </w:pPr>
    </w:p>
    <w:sectPr w:rsidR="0090441B" w:rsidRPr="00FA4398" w:rsidSect="00FA4398">
      <w:headerReference w:type="even" r:id="rId7"/>
      <w:headerReference w:type="default" r:id="rId8"/>
      <w:footerReference w:type="default" r:id="rId9"/>
      <w:headerReference w:type="first" r:id="rId10"/>
      <w:pgSz w:w="12240" w:h="15840"/>
      <w:pgMar w:top="1620" w:right="810" w:bottom="284" w:left="6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2EA34C" w14:textId="77777777" w:rsidR="00CA0641" w:rsidRDefault="00CA0641">
      <w:pPr>
        <w:spacing w:after="0" w:line="240" w:lineRule="auto"/>
      </w:pPr>
      <w:r>
        <w:separator/>
      </w:r>
    </w:p>
  </w:endnote>
  <w:endnote w:type="continuationSeparator" w:id="0">
    <w:p w14:paraId="7E17189D" w14:textId="77777777" w:rsidR="00CA0641" w:rsidRDefault="00CA0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9259719"/>
      <w:docPartObj>
        <w:docPartGallery w:val="Page Numbers (Bottom of Page)"/>
        <w:docPartUnique/>
      </w:docPartObj>
    </w:sdtPr>
    <w:sdtEndPr/>
    <w:sdtContent>
      <w:sdt>
        <w:sdtPr>
          <w:id w:val="1817145740"/>
          <w:docPartObj>
            <w:docPartGallery w:val="Page Numbers (Top of Page)"/>
            <w:docPartUnique/>
          </w:docPartObj>
        </w:sdtPr>
        <w:sdtEndPr/>
        <w:sdtContent>
          <w:p w14:paraId="57B40081" w14:textId="5DE3ECB1" w:rsidR="006D0703" w:rsidRDefault="006D070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942B73">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42B73">
              <w:rPr>
                <w:b/>
                <w:bCs/>
                <w:noProof/>
              </w:rPr>
              <w:t>8</w:t>
            </w:r>
            <w:r>
              <w:rPr>
                <w:b/>
                <w:bCs/>
                <w:sz w:val="24"/>
                <w:szCs w:val="24"/>
              </w:rPr>
              <w:fldChar w:fldCharType="end"/>
            </w:r>
          </w:p>
        </w:sdtContent>
      </w:sdt>
    </w:sdtContent>
  </w:sdt>
  <w:p w14:paraId="2F844422" w14:textId="77777777" w:rsidR="006D0703" w:rsidRDefault="006D07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988B92" w14:textId="77777777" w:rsidR="00CA0641" w:rsidRDefault="00CA0641">
      <w:pPr>
        <w:spacing w:after="0" w:line="240" w:lineRule="auto"/>
      </w:pPr>
      <w:r>
        <w:separator/>
      </w:r>
    </w:p>
  </w:footnote>
  <w:footnote w:type="continuationSeparator" w:id="0">
    <w:p w14:paraId="1B28E850" w14:textId="77777777" w:rsidR="00CA0641" w:rsidRDefault="00CA06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D7764D" w14:textId="49B93BD3" w:rsidR="006D0703" w:rsidRDefault="006D07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6BC39E" w14:textId="6238E58B" w:rsidR="006D0703" w:rsidRDefault="006D0703">
    <w:pPr>
      <w:pStyle w:val="Header"/>
      <w:rPr>
        <w:noProof/>
        <w:rtl/>
      </w:rPr>
    </w:pPr>
  </w:p>
  <w:p w14:paraId="153C6C2D" w14:textId="77777777" w:rsidR="006D0703" w:rsidRDefault="006D0703">
    <w:pPr>
      <w:pStyle w:val="Header"/>
      <w:rPr>
        <w:noProof/>
        <w:rtl/>
      </w:rPr>
    </w:pPr>
  </w:p>
  <w:p w14:paraId="4A0EC3C7" w14:textId="77777777" w:rsidR="006D0703" w:rsidRDefault="006D07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0E68EE" w14:textId="34A56FA7" w:rsidR="006D0703" w:rsidRDefault="006D07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1A5404"/>
    <w:multiLevelType w:val="hybridMultilevel"/>
    <w:tmpl w:val="DB026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3F0633"/>
    <w:multiLevelType w:val="multilevel"/>
    <w:tmpl w:val="ED14B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32B63"/>
    <w:multiLevelType w:val="multilevel"/>
    <w:tmpl w:val="5ABC7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82875"/>
    <w:multiLevelType w:val="multilevel"/>
    <w:tmpl w:val="90D25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3D7F84"/>
    <w:multiLevelType w:val="hybridMultilevel"/>
    <w:tmpl w:val="FBD6F1B6"/>
    <w:lvl w:ilvl="0" w:tplc="8E2EF55E">
      <w:start w:val="1"/>
      <w:numFmt w:val="decimal"/>
      <w:lvlText w:val="%1-"/>
      <w:lvlJc w:val="left"/>
      <w:pPr>
        <w:ind w:left="720" w:hanging="360"/>
      </w:pPr>
      <w:rPr>
        <w:rFonts w:asciiTheme="minorHAnsi" w:eastAsia="Arial Unicode MS"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283A62"/>
    <w:multiLevelType w:val="multilevel"/>
    <w:tmpl w:val="F9A25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AB3647"/>
    <w:multiLevelType w:val="multilevel"/>
    <w:tmpl w:val="F362A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D60C9C"/>
    <w:multiLevelType w:val="multilevel"/>
    <w:tmpl w:val="D8D60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F57668"/>
    <w:multiLevelType w:val="multilevel"/>
    <w:tmpl w:val="754450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0F288D"/>
    <w:multiLevelType w:val="multilevel"/>
    <w:tmpl w:val="C410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D02F5"/>
    <w:multiLevelType w:val="hybridMultilevel"/>
    <w:tmpl w:val="B7DE31C8"/>
    <w:lvl w:ilvl="0" w:tplc="8BEA0FA0">
      <w:start w:val="1"/>
      <w:numFmt w:val="decimal"/>
      <w:lvlText w:val="%1."/>
      <w:lvlJc w:val="left"/>
      <w:pPr>
        <w:ind w:left="-203" w:hanging="360"/>
      </w:pPr>
      <w:rPr>
        <w:rFonts w:hint="default"/>
      </w:rPr>
    </w:lvl>
    <w:lvl w:ilvl="1" w:tplc="08090019" w:tentative="1">
      <w:start w:val="1"/>
      <w:numFmt w:val="lowerLetter"/>
      <w:lvlText w:val="%2."/>
      <w:lvlJc w:val="left"/>
      <w:pPr>
        <w:ind w:left="517" w:hanging="360"/>
      </w:pPr>
    </w:lvl>
    <w:lvl w:ilvl="2" w:tplc="0809001B" w:tentative="1">
      <w:start w:val="1"/>
      <w:numFmt w:val="lowerRoman"/>
      <w:lvlText w:val="%3."/>
      <w:lvlJc w:val="right"/>
      <w:pPr>
        <w:ind w:left="1237" w:hanging="180"/>
      </w:pPr>
    </w:lvl>
    <w:lvl w:ilvl="3" w:tplc="0809000F" w:tentative="1">
      <w:start w:val="1"/>
      <w:numFmt w:val="decimal"/>
      <w:lvlText w:val="%4."/>
      <w:lvlJc w:val="left"/>
      <w:pPr>
        <w:ind w:left="1957" w:hanging="360"/>
      </w:pPr>
    </w:lvl>
    <w:lvl w:ilvl="4" w:tplc="08090019" w:tentative="1">
      <w:start w:val="1"/>
      <w:numFmt w:val="lowerLetter"/>
      <w:lvlText w:val="%5."/>
      <w:lvlJc w:val="left"/>
      <w:pPr>
        <w:ind w:left="2677" w:hanging="360"/>
      </w:pPr>
    </w:lvl>
    <w:lvl w:ilvl="5" w:tplc="0809001B" w:tentative="1">
      <w:start w:val="1"/>
      <w:numFmt w:val="lowerRoman"/>
      <w:lvlText w:val="%6."/>
      <w:lvlJc w:val="right"/>
      <w:pPr>
        <w:ind w:left="3397" w:hanging="180"/>
      </w:pPr>
    </w:lvl>
    <w:lvl w:ilvl="6" w:tplc="0809000F" w:tentative="1">
      <w:start w:val="1"/>
      <w:numFmt w:val="decimal"/>
      <w:lvlText w:val="%7."/>
      <w:lvlJc w:val="left"/>
      <w:pPr>
        <w:ind w:left="4117" w:hanging="360"/>
      </w:pPr>
    </w:lvl>
    <w:lvl w:ilvl="7" w:tplc="08090019" w:tentative="1">
      <w:start w:val="1"/>
      <w:numFmt w:val="lowerLetter"/>
      <w:lvlText w:val="%8."/>
      <w:lvlJc w:val="left"/>
      <w:pPr>
        <w:ind w:left="4837" w:hanging="360"/>
      </w:pPr>
    </w:lvl>
    <w:lvl w:ilvl="8" w:tplc="0809001B" w:tentative="1">
      <w:start w:val="1"/>
      <w:numFmt w:val="lowerRoman"/>
      <w:lvlText w:val="%9."/>
      <w:lvlJc w:val="right"/>
      <w:pPr>
        <w:ind w:left="5557" w:hanging="180"/>
      </w:pPr>
    </w:lvl>
  </w:abstractNum>
  <w:abstractNum w:abstractNumId="11" w15:restartNumberingAfterBreak="0">
    <w:nsid w:val="35287D86"/>
    <w:multiLevelType w:val="hybridMultilevel"/>
    <w:tmpl w:val="9946996C"/>
    <w:lvl w:ilvl="0" w:tplc="36D87486">
      <w:start w:val="1"/>
      <w:numFmt w:val="decimal"/>
      <w:lvlText w:val="%1."/>
      <w:lvlJc w:val="left"/>
      <w:pPr>
        <w:ind w:left="-203" w:hanging="360"/>
      </w:pPr>
      <w:rPr>
        <w:rFonts w:hint="default"/>
      </w:rPr>
    </w:lvl>
    <w:lvl w:ilvl="1" w:tplc="08090019" w:tentative="1">
      <w:start w:val="1"/>
      <w:numFmt w:val="lowerLetter"/>
      <w:lvlText w:val="%2."/>
      <w:lvlJc w:val="left"/>
      <w:pPr>
        <w:ind w:left="517" w:hanging="360"/>
      </w:pPr>
    </w:lvl>
    <w:lvl w:ilvl="2" w:tplc="0809001B" w:tentative="1">
      <w:start w:val="1"/>
      <w:numFmt w:val="lowerRoman"/>
      <w:lvlText w:val="%3."/>
      <w:lvlJc w:val="right"/>
      <w:pPr>
        <w:ind w:left="1237" w:hanging="180"/>
      </w:pPr>
    </w:lvl>
    <w:lvl w:ilvl="3" w:tplc="0809000F" w:tentative="1">
      <w:start w:val="1"/>
      <w:numFmt w:val="decimal"/>
      <w:lvlText w:val="%4."/>
      <w:lvlJc w:val="left"/>
      <w:pPr>
        <w:ind w:left="1957" w:hanging="360"/>
      </w:pPr>
    </w:lvl>
    <w:lvl w:ilvl="4" w:tplc="08090019" w:tentative="1">
      <w:start w:val="1"/>
      <w:numFmt w:val="lowerLetter"/>
      <w:lvlText w:val="%5."/>
      <w:lvlJc w:val="left"/>
      <w:pPr>
        <w:ind w:left="2677" w:hanging="360"/>
      </w:pPr>
    </w:lvl>
    <w:lvl w:ilvl="5" w:tplc="0809001B" w:tentative="1">
      <w:start w:val="1"/>
      <w:numFmt w:val="lowerRoman"/>
      <w:lvlText w:val="%6."/>
      <w:lvlJc w:val="right"/>
      <w:pPr>
        <w:ind w:left="3397" w:hanging="180"/>
      </w:pPr>
    </w:lvl>
    <w:lvl w:ilvl="6" w:tplc="0809000F" w:tentative="1">
      <w:start w:val="1"/>
      <w:numFmt w:val="decimal"/>
      <w:lvlText w:val="%7."/>
      <w:lvlJc w:val="left"/>
      <w:pPr>
        <w:ind w:left="4117" w:hanging="360"/>
      </w:pPr>
    </w:lvl>
    <w:lvl w:ilvl="7" w:tplc="08090019" w:tentative="1">
      <w:start w:val="1"/>
      <w:numFmt w:val="lowerLetter"/>
      <w:lvlText w:val="%8."/>
      <w:lvlJc w:val="left"/>
      <w:pPr>
        <w:ind w:left="4837" w:hanging="360"/>
      </w:pPr>
    </w:lvl>
    <w:lvl w:ilvl="8" w:tplc="0809001B" w:tentative="1">
      <w:start w:val="1"/>
      <w:numFmt w:val="lowerRoman"/>
      <w:lvlText w:val="%9."/>
      <w:lvlJc w:val="right"/>
      <w:pPr>
        <w:ind w:left="5557" w:hanging="180"/>
      </w:pPr>
    </w:lvl>
  </w:abstractNum>
  <w:abstractNum w:abstractNumId="12" w15:restartNumberingAfterBreak="0">
    <w:nsid w:val="35872C0B"/>
    <w:multiLevelType w:val="multilevel"/>
    <w:tmpl w:val="DF6E2D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910968"/>
    <w:multiLevelType w:val="multilevel"/>
    <w:tmpl w:val="FB745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176EF3"/>
    <w:multiLevelType w:val="multilevel"/>
    <w:tmpl w:val="632853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F22AA9"/>
    <w:multiLevelType w:val="multilevel"/>
    <w:tmpl w:val="B2BAF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4D1C7E"/>
    <w:multiLevelType w:val="multilevel"/>
    <w:tmpl w:val="9BCEC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BF4825"/>
    <w:multiLevelType w:val="multilevel"/>
    <w:tmpl w:val="F492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3605C6"/>
    <w:multiLevelType w:val="multilevel"/>
    <w:tmpl w:val="75F8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B242AC"/>
    <w:multiLevelType w:val="multilevel"/>
    <w:tmpl w:val="E8BC0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D346CD"/>
    <w:multiLevelType w:val="hybridMultilevel"/>
    <w:tmpl w:val="1E24B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1219D1"/>
    <w:multiLevelType w:val="multilevel"/>
    <w:tmpl w:val="324E6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F7567D"/>
    <w:multiLevelType w:val="multilevel"/>
    <w:tmpl w:val="A6A0EE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77081D"/>
    <w:multiLevelType w:val="hybridMultilevel"/>
    <w:tmpl w:val="FEC6A7E6"/>
    <w:lvl w:ilvl="0" w:tplc="E780B0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B70F84"/>
    <w:multiLevelType w:val="multilevel"/>
    <w:tmpl w:val="25824BAA"/>
    <w:lvl w:ilvl="0">
      <w:start w:val="1"/>
      <w:numFmt w:val="decimal"/>
      <w:lvlText w:val="%1."/>
      <w:lvlJc w:val="left"/>
      <w:pPr>
        <w:tabs>
          <w:tab w:val="num" w:pos="720"/>
        </w:tabs>
        <w:ind w:left="720" w:hanging="360"/>
      </w:pPr>
      <w:rPr>
        <w:rFonts w:ascii="Traditional Arabic" w:eastAsiaTheme="minorHAnsi" w:hAnsi="Traditional Arabic" w:cs="Traditional Arabic"/>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1E5DBD"/>
    <w:multiLevelType w:val="multilevel"/>
    <w:tmpl w:val="E2AC8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392C2E"/>
    <w:multiLevelType w:val="multilevel"/>
    <w:tmpl w:val="5DC01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2D27D3"/>
    <w:multiLevelType w:val="multilevel"/>
    <w:tmpl w:val="25824BAA"/>
    <w:lvl w:ilvl="0">
      <w:start w:val="1"/>
      <w:numFmt w:val="decimal"/>
      <w:lvlText w:val="%1."/>
      <w:lvlJc w:val="left"/>
      <w:pPr>
        <w:tabs>
          <w:tab w:val="num" w:pos="720"/>
        </w:tabs>
        <w:ind w:left="720" w:hanging="360"/>
      </w:pPr>
      <w:rPr>
        <w:rFonts w:ascii="Traditional Arabic" w:eastAsiaTheme="minorHAnsi" w:hAnsi="Traditional Arabic" w:cs="Traditional Arabic"/>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872728"/>
    <w:multiLevelType w:val="multilevel"/>
    <w:tmpl w:val="A4061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CF5593"/>
    <w:multiLevelType w:val="hybridMultilevel"/>
    <w:tmpl w:val="D0D8933A"/>
    <w:lvl w:ilvl="0" w:tplc="BC746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1"/>
  </w:num>
  <w:num w:numId="3">
    <w:abstractNumId w:val="10"/>
  </w:num>
  <w:num w:numId="4">
    <w:abstractNumId w:val="4"/>
  </w:num>
  <w:num w:numId="5">
    <w:abstractNumId w:val="29"/>
  </w:num>
  <w:num w:numId="6">
    <w:abstractNumId w:val="23"/>
  </w:num>
  <w:num w:numId="7">
    <w:abstractNumId w:val="6"/>
  </w:num>
  <w:num w:numId="8">
    <w:abstractNumId w:val="9"/>
  </w:num>
  <w:num w:numId="9">
    <w:abstractNumId w:val="1"/>
  </w:num>
  <w:num w:numId="10">
    <w:abstractNumId w:val="27"/>
  </w:num>
  <w:num w:numId="11">
    <w:abstractNumId w:val="16"/>
  </w:num>
  <w:num w:numId="12">
    <w:abstractNumId w:val="8"/>
  </w:num>
  <w:num w:numId="13">
    <w:abstractNumId w:val="14"/>
  </w:num>
  <w:num w:numId="14">
    <w:abstractNumId w:val="18"/>
  </w:num>
  <w:num w:numId="15">
    <w:abstractNumId w:val="24"/>
  </w:num>
  <w:num w:numId="16">
    <w:abstractNumId w:val="2"/>
  </w:num>
  <w:num w:numId="17">
    <w:abstractNumId w:val="15"/>
  </w:num>
  <w:num w:numId="18">
    <w:abstractNumId w:val="28"/>
  </w:num>
  <w:num w:numId="19">
    <w:abstractNumId w:val="22"/>
  </w:num>
  <w:num w:numId="20">
    <w:abstractNumId w:val="12"/>
  </w:num>
  <w:num w:numId="21">
    <w:abstractNumId w:val="5"/>
  </w:num>
  <w:num w:numId="22">
    <w:abstractNumId w:val="25"/>
  </w:num>
  <w:num w:numId="23">
    <w:abstractNumId w:val="0"/>
  </w:num>
  <w:num w:numId="24">
    <w:abstractNumId w:val="21"/>
  </w:num>
  <w:num w:numId="25">
    <w:abstractNumId w:val="7"/>
  </w:num>
  <w:num w:numId="26">
    <w:abstractNumId w:val="17"/>
  </w:num>
  <w:num w:numId="27">
    <w:abstractNumId w:val="3"/>
  </w:num>
  <w:num w:numId="28">
    <w:abstractNumId w:val="19"/>
  </w:num>
  <w:num w:numId="29">
    <w:abstractNumId w:val="26"/>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CCC"/>
    <w:rsid w:val="00000156"/>
    <w:rsid w:val="000422C5"/>
    <w:rsid w:val="0008643C"/>
    <w:rsid w:val="000C1C32"/>
    <w:rsid w:val="000C246A"/>
    <w:rsid w:val="000E0D61"/>
    <w:rsid w:val="000E6974"/>
    <w:rsid w:val="001001AE"/>
    <w:rsid w:val="00161574"/>
    <w:rsid w:val="00162A6E"/>
    <w:rsid w:val="00163A6D"/>
    <w:rsid w:val="001B0111"/>
    <w:rsid w:val="001B2272"/>
    <w:rsid w:val="001B45CC"/>
    <w:rsid w:val="001F353B"/>
    <w:rsid w:val="00211DE7"/>
    <w:rsid w:val="0023648E"/>
    <w:rsid w:val="002452FF"/>
    <w:rsid w:val="00282F67"/>
    <w:rsid w:val="00284C08"/>
    <w:rsid w:val="002B24FF"/>
    <w:rsid w:val="002E0091"/>
    <w:rsid w:val="002F26B9"/>
    <w:rsid w:val="003325F1"/>
    <w:rsid w:val="00337768"/>
    <w:rsid w:val="00337E4C"/>
    <w:rsid w:val="003B0DA8"/>
    <w:rsid w:val="003D4F28"/>
    <w:rsid w:val="00461B85"/>
    <w:rsid w:val="004F2B66"/>
    <w:rsid w:val="005005CA"/>
    <w:rsid w:val="00564205"/>
    <w:rsid w:val="00577387"/>
    <w:rsid w:val="005A355B"/>
    <w:rsid w:val="005A3B63"/>
    <w:rsid w:val="005B602B"/>
    <w:rsid w:val="005B73E6"/>
    <w:rsid w:val="005C322D"/>
    <w:rsid w:val="005C6BDC"/>
    <w:rsid w:val="005D6016"/>
    <w:rsid w:val="006374AF"/>
    <w:rsid w:val="006417AB"/>
    <w:rsid w:val="006855D9"/>
    <w:rsid w:val="00691E71"/>
    <w:rsid w:val="00696BC4"/>
    <w:rsid w:val="00697BDF"/>
    <w:rsid w:val="006D0703"/>
    <w:rsid w:val="007178FD"/>
    <w:rsid w:val="007419E3"/>
    <w:rsid w:val="00772B01"/>
    <w:rsid w:val="007D2AD9"/>
    <w:rsid w:val="00802853"/>
    <w:rsid w:val="008329FE"/>
    <w:rsid w:val="008870BC"/>
    <w:rsid w:val="008C383A"/>
    <w:rsid w:val="008D43A0"/>
    <w:rsid w:val="008D4D28"/>
    <w:rsid w:val="008F4C22"/>
    <w:rsid w:val="0090441B"/>
    <w:rsid w:val="0092261E"/>
    <w:rsid w:val="00942B73"/>
    <w:rsid w:val="00953CCC"/>
    <w:rsid w:val="00957F80"/>
    <w:rsid w:val="00993006"/>
    <w:rsid w:val="009945B6"/>
    <w:rsid w:val="009B75C1"/>
    <w:rsid w:val="00A13261"/>
    <w:rsid w:val="00A20652"/>
    <w:rsid w:val="00A42FC5"/>
    <w:rsid w:val="00A70D83"/>
    <w:rsid w:val="00A8215C"/>
    <w:rsid w:val="00AA25B4"/>
    <w:rsid w:val="00AC58BC"/>
    <w:rsid w:val="00B25438"/>
    <w:rsid w:val="00B75D0B"/>
    <w:rsid w:val="00B950EA"/>
    <w:rsid w:val="00BE1C2E"/>
    <w:rsid w:val="00C03D31"/>
    <w:rsid w:val="00C2206E"/>
    <w:rsid w:val="00C43095"/>
    <w:rsid w:val="00C4337B"/>
    <w:rsid w:val="00C5313B"/>
    <w:rsid w:val="00C63A9C"/>
    <w:rsid w:val="00C90CA5"/>
    <w:rsid w:val="00CA0641"/>
    <w:rsid w:val="00CC705A"/>
    <w:rsid w:val="00D113FA"/>
    <w:rsid w:val="00D12A46"/>
    <w:rsid w:val="00D745C6"/>
    <w:rsid w:val="00DA1230"/>
    <w:rsid w:val="00E13CA8"/>
    <w:rsid w:val="00E37912"/>
    <w:rsid w:val="00E573F7"/>
    <w:rsid w:val="00E632EC"/>
    <w:rsid w:val="00E74D33"/>
    <w:rsid w:val="00EB2CC7"/>
    <w:rsid w:val="00EB6EC9"/>
    <w:rsid w:val="00F25DAA"/>
    <w:rsid w:val="00F40AC0"/>
    <w:rsid w:val="00F5449B"/>
    <w:rsid w:val="00F9378F"/>
    <w:rsid w:val="00FA4398"/>
    <w:rsid w:val="00FC341D"/>
    <w:rsid w:val="00FC4C25"/>
    <w:rsid w:val="00FE2FCF"/>
    <w:rsid w:val="05CED95C"/>
    <w:rsid w:val="07E2A822"/>
    <w:rsid w:val="0BC27352"/>
    <w:rsid w:val="0D6AE301"/>
    <w:rsid w:val="0FBA9E23"/>
    <w:rsid w:val="108A83A0"/>
    <w:rsid w:val="12A4F121"/>
    <w:rsid w:val="1392CE56"/>
    <w:rsid w:val="13F5403D"/>
    <w:rsid w:val="16672FD8"/>
    <w:rsid w:val="189D1C06"/>
    <w:rsid w:val="1A789AA5"/>
    <w:rsid w:val="2362C508"/>
    <w:rsid w:val="24A9EE3E"/>
    <w:rsid w:val="26667571"/>
    <w:rsid w:val="27AAFA0D"/>
    <w:rsid w:val="2914157F"/>
    <w:rsid w:val="2DB2BA8A"/>
    <w:rsid w:val="344F724B"/>
    <w:rsid w:val="3AAE805F"/>
    <w:rsid w:val="3B6E284D"/>
    <w:rsid w:val="442BD11B"/>
    <w:rsid w:val="47090976"/>
    <w:rsid w:val="4942CC32"/>
    <w:rsid w:val="4BEB0BE3"/>
    <w:rsid w:val="4CFC941C"/>
    <w:rsid w:val="4D3FBC16"/>
    <w:rsid w:val="5F10DE04"/>
    <w:rsid w:val="65298FD5"/>
    <w:rsid w:val="6AF50523"/>
    <w:rsid w:val="6B5D9EC9"/>
    <w:rsid w:val="6C5EB31D"/>
    <w:rsid w:val="6EE082EC"/>
    <w:rsid w:val="6F583A4D"/>
    <w:rsid w:val="761B9778"/>
    <w:rsid w:val="7F8003B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957111"/>
  <w15:chartTrackingRefBased/>
  <w15:docId w15:val="{150EE0BC-8130-4E40-A09D-94EE2B026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0091"/>
    <w:pPr>
      <w:spacing w:line="256" w:lineRule="auto"/>
    </w:pPr>
    <w:rPr>
      <w:kern w:val="0"/>
      <w:lang w:val="en-US"/>
      <w14:ligatures w14:val="none"/>
    </w:rPr>
  </w:style>
  <w:style w:type="paragraph" w:styleId="Heading2">
    <w:name w:val="heading 2"/>
    <w:basedOn w:val="Normal"/>
    <w:next w:val="Normal"/>
    <w:link w:val="Heading2Char"/>
    <w:uiPriority w:val="9"/>
    <w:semiHidden/>
    <w:unhideWhenUsed/>
    <w:qFormat/>
    <w:rsid w:val="008F4C2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4337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00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0091"/>
    <w:rPr>
      <w:kern w:val="0"/>
      <w:lang w:val="en-US"/>
      <w14:ligatures w14:val="none"/>
    </w:rPr>
  </w:style>
  <w:style w:type="paragraph" w:styleId="Footer">
    <w:name w:val="footer"/>
    <w:basedOn w:val="Normal"/>
    <w:link w:val="FooterChar"/>
    <w:uiPriority w:val="99"/>
    <w:unhideWhenUsed/>
    <w:rsid w:val="002E00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0091"/>
    <w:rPr>
      <w:kern w:val="0"/>
      <w:lang w:val="en-US"/>
      <w14:ligatures w14:val="none"/>
    </w:rPr>
  </w:style>
  <w:style w:type="paragraph" w:styleId="ListParagraph">
    <w:name w:val="List Paragraph"/>
    <w:basedOn w:val="Normal"/>
    <w:uiPriority w:val="34"/>
    <w:qFormat/>
    <w:rsid w:val="002E0091"/>
    <w:pPr>
      <w:spacing w:after="200" w:line="276" w:lineRule="auto"/>
      <w:ind w:left="720"/>
      <w:contextualSpacing/>
    </w:pPr>
  </w:style>
  <w:style w:type="paragraph" w:customStyle="1" w:styleId="Body">
    <w:name w:val="Body"/>
    <w:rsid w:val="002E0091"/>
    <w:pPr>
      <w:bidi/>
      <w:spacing w:after="0" w:line="240" w:lineRule="auto"/>
    </w:pPr>
    <w:rPr>
      <w:rFonts w:ascii="Arial Unicode MS" w:eastAsia="Arial Unicode MS" w:hAnsi="Arial Unicode MS" w:cs="Arial Unicode MS"/>
      <w:color w:val="000000"/>
      <w:kern w:val="0"/>
      <w:sz w:val="24"/>
      <w:szCs w:val="24"/>
      <w:u w:color="000000"/>
      <w:lang w:val="ar-SA"/>
      <w14:ligatures w14:val="none"/>
    </w:rPr>
  </w:style>
  <w:style w:type="character" w:customStyle="1" w:styleId="Heading2Char">
    <w:name w:val="Heading 2 Char"/>
    <w:basedOn w:val="DefaultParagraphFont"/>
    <w:link w:val="Heading2"/>
    <w:uiPriority w:val="9"/>
    <w:semiHidden/>
    <w:rsid w:val="008F4C22"/>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semiHidden/>
    <w:rsid w:val="00C4337B"/>
    <w:rPr>
      <w:rFonts w:asciiTheme="majorHAnsi" w:eastAsiaTheme="majorEastAsia" w:hAnsiTheme="majorHAnsi" w:cstheme="majorBidi"/>
      <w:color w:val="1F3763" w:themeColor="accent1" w:themeShade="7F"/>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36612">
      <w:bodyDiv w:val="1"/>
      <w:marLeft w:val="0"/>
      <w:marRight w:val="0"/>
      <w:marTop w:val="0"/>
      <w:marBottom w:val="0"/>
      <w:divBdr>
        <w:top w:val="none" w:sz="0" w:space="0" w:color="auto"/>
        <w:left w:val="none" w:sz="0" w:space="0" w:color="auto"/>
        <w:bottom w:val="none" w:sz="0" w:space="0" w:color="auto"/>
        <w:right w:val="none" w:sz="0" w:space="0" w:color="auto"/>
      </w:divBdr>
    </w:div>
    <w:div w:id="31421317">
      <w:bodyDiv w:val="1"/>
      <w:marLeft w:val="0"/>
      <w:marRight w:val="0"/>
      <w:marTop w:val="0"/>
      <w:marBottom w:val="0"/>
      <w:divBdr>
        <w:top w:val="none" w:sz="0" w:space="0" w:color="auto"/>
        <w:left w:val="none" w:sz="0" w:space="0" w:color="auto"/>
        <w:bottom w:val="none" w:sz="0" w:space="0" w:color="auto"/>
        <w:right w:val="none" w:sz="0" w:space="0" w:color="auto"/>
      </w:divBdr>
    </w:div>
    <w:div w:id="154225591">
      <w:bodyDiv w:val="1"/>
      <w:marLeft w:val="0"/>
      <w:marRight w:val="0"/>
      <w:marTop w:val="0"/>
      <w:marBottom w:val="0"/>
      <w:divBdr>
        <w:top w:val="none" w:sz="0" w:space="0" w:color="auto"/>
        <w:left w:val="none" w:sz="0" w:space="0" w:color="auto"/>
        <w:bottom w:val="none" w:sz="0" w:space="0" w:color="auto"/>
        <w:right w:val="none" w:sz="0" w:space="0" w:color="auto"/>
      </w:divBdr>
      <w:divsChild>
        <w:div w:id="1833596601">
          <w:marLeft w:val="0"/>
          <w:marRight w:val="0"/>
          <w:marTop w:val="300"/>
          <w:marBottom w:val="300"/>
          <w:divBdr>
            <w:top w:val="none" w:sz="0" w:space="0" w:color="auto"/>
            <w:left w:val="none" w:sz="0" w:space="0" w:color="auto"/>
            <w:bottom w:val="none" w:sz="0" w:space="0" w:color="auto"/>
            <w:right w:val="none" w:sz="0" w:space="0" w:color="auto"/>
          </w:divBdr>
          <w:divsChild>
            <w:div w:id="61409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46674">
      <w:bodyDiv w:val="1"/>
      <w:marLeft w:val="0"/>
      <w:marRight w:val="0"/>
      <w:marTop w:val="0"/>
      <w:marBottom w:val="0"/>
      <w:divBdr>
        <w:top w:val="none" w:sz="0" w:space="0" w:color="auto"/>
        <w:left w:val="none" w:sz="0" w:space="0" w:color="auto"/>
        <w:bottom w:val="none" w:sz="0" w:space="0" w:color="auto"/>
        <w:right w:val="none" w:sz="0" w:space="0" w:color="auto"/>
      </w:divBdr>
    </w:div>
    <w:div w:id="359165000">
      <w:bodyDiv w:val="1"/>
      <w:marLeft w:val="0"/>
      <w:marRight w:val="0"/>
      <w:marTop w:val="0"/>
      <w:marBottom w:val="0"/>
      <w:divBdr>
        <w:top w:val="none" w:sz="0" w:space="0" w:color="auto"/>
        <w:left w:val="none" w:sz="0" w:space="0" w:color="auto"/>
        <w:bottom w:val="none" w:sz="0" w:space="0" w:color="auto"/>
        <w:right w:val="none" w:sz="0" w:space="0" w:color="auto"/>
      </w:divBdr>
    </w:div>
    <w:div w:id="390080209">
      <w:bodyDiv w:val="1"/>
      <w:marLeft w:val="0"/>
      <w:marRight w:val="0"/>
      <w:marTop w:val="0"/>
      <w:marBottom w:val="0"/>
      <w:divBdr>
        <w:top w:val="none" w:sz="0" w:space="0" w:color="auto"/>
        <w:left w:val="none" w:sz="0" w:space="0" w:color="auto"/>
        <w:bottom w:val="none" w:sz="0" w:space="0" w:color="auto"/>
        <w:right w:val="none" w:sz="0" w:space="0" w:color="auto"/>
      </w:divBdr>
      <w:divsChild>
        <w:div w:id="448276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9451217">
      <w:bodyDiv w:val="1"/>
      <w:marLeft w:val="0"/>
      <w:marRight w:val="0"/>
      <w:marTop w:val="0"/>
      <w:marBottom w:val="0"/>
      <w:divBdr>
        <w:top w:val="none" w:sz="0" w:space="0" w:color="auto"/>
        <w:left w:val="none" w:sz="0" w:space="0" w:color="auto"/>
        <w:bottom w:val="none" w:sz="0" w:space="0" w:color="auto"/>
        <w:right w:val="none" w:sz="0" w:space="0" w:color="auto"/>
      </w:divBdr>
    </w:div>
    <w:div w:id="443312302">
      <w:bodyDiv w:val="1"/>
      <w:marLeft w:val="0"/>
      <w:marRight w:val="0"/>
      <w:marTop w:val="0"/>
      <w:marBottom w:val="0"/>
      <w:divBdr>
        <w:top w:val="none" w:sz="0" w:space="0" w:color="auto"/>
        <w:left w:val="none" w:sz="0" w:space="0" w:color="auto"/>
        <w:bottom w:val="none" w:sz="0" w:space="0" w:color="auto"/>
        <w:right w:val="none" w:sz="0" w:space="0" w:color="auto"/>
      </w:divBdr>
      <w:divsChild>
        <w:div w:id="755908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4492205">
      <w:bodyDiv w:val="1"/>
      <w:marLeft w:val="0"/>
      <w:marRight w:val="0"/>
      <w:marTop w:val="0"/>
      <w:marBottom w:val="0"/>
      <w:divBdr>
        <w:top w:val="none" w:sz="0" w:space="0" w:color="auto"/>
        <w:left w:val="none" w:sz="0" w:space="0" w:color="auto"/>
        <w:bottom w:val="none" w:sz="0" w:space="0" w:color="auto"/>
        <w:right w:val="none" w:sz="0" w:space="0" w:color="auto"/>
      </w:divBdr>
      <w:divsChild>
        <w:div w:id="887497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689399">
      <w:bodyDiv w:val="1"/>
      <w:marLeft w:val="0"/>
      <w:marRight w:val="0"/>
      <w:marTop w:val="0"/>
      <w:marBottom w:val="0"/>
      <w:divBdr>
        <w:top w:val="none" w:sz="0" w:space="0" w:color="auto"/>
        <w:left w:val="none" w:sz="0" w:space="0" w:color="auto"/>
        <w:bottom w:val="none" w:sz="0" w:space="0" w:color="auto"/>
        <w:right w:val="none" w:sz="0" w:space="0" w:color="auto"/>
      </w:divBdr>
    </w:div>
    <w:div w:id="540557739">
      <w:bodyDiv w:val="1"/>
      <w:marLeft w:val="0"/>
      <w:marRight w:val="0"/>
      <w:marTop w:val="0"/>
      <w:marBottom w:val="0"/>
      <w:divBdr>
        <w:top w:val="none" w:sz="0" w:space="0" w:color="auto"/>
        <w:left w:val="none" w:sz="0" w:space="0" w:color="auto"/>
        <w:bottom w:val="none" w:sz="0" w:space="0" w:color="auto"/>
        <w:right w:val="none" w:sz="0" w:space="0" w:color="auto"/>
      </w:divBdr>
      <w:divsChild>
        <w:div w:id="198206508">
          <w:marLeft w:val="0"/>
          <w:marRight w:val="0"/>
          <w:marTop w:val="0"/>
          <w:marBottom w:val="0"/>
          <w:divBdr>
            <w:top w:val="none" w:sz="0" w:space="0" w:color="auto"/>
            <w:left w:val="none" w:sz="0" w:space="0" w:color="auto"/>
            <w:bottom w:val="none" w:sz="0" w:space="0" w:color="auto"/>
            <w:right w:val="none" w:sz="0" w:space="0" w:color="auto"/>
          </w:divBdr>
          <w:divsChild>
            <w:div w:id="1058473714">
              <w:marLeft w:val="0"/>
              <w:marRight w:val="0"/>
              <w:marTop w:val="0"/>
              <w:marBottom w:val="0"/>
              <w:divBdr>
                <w:top w:val="none" w:sz="0" w:space="0" w:color="auto"/>
                <w:left w:val="none" w:sz="0" w:space="0" w:color="auto"/>
                <w:bottom w:val="none" w:sz="0" w:space="0" w:color="auto"/>
                <w:right w:val="none" w:sz="0" w:space="0" w:color="auto"/>
              </w:divBdr>
              <w:divsChild>
                <w:div w:id="556474058">
                  <w:marLeft w:val="0"/>
                  <w:marRight w:val="0"/>
                  <w:marTop w:val="0"/>
                  <w:marBottom w:val="0"/>
                  <w:divBdr>
                    <w:top w:val="none" w:sz="0" w:space="0" w:color="auto"/>
                    <w:left w:val="none" w:sz="0" w:space="0" w:color="auto"/>
                    <w:bottom w:val="none" w:sz="0" w:space="0" w:color="auto"/>
                    <w:right w:val="none" w:sz="0" w:space="0" w:color="auto"/>
                  </w:divBdr>
                  <w:divsChild>
                    <w:div w:id="1037392483">
                      <w:marLeft w:val="0"/>
                      <w:marRight w:val="0"/>
                      <w:marTop w:val="0"/>
                      <w:marBottom w:val="0"/>
                      <w:divBdr>
                        <w:top w:val="none" w:sz="0" w:space="0" w:color="auto"/>
                        <w:left w:val="none" w:sz="0" w:space="0" w:color="auto"/>
                        <w:bottom w:val="none" w:sz="0" w:space="0" w:color="auto"/>
                        <w:right w:val="none" w:sz="0" w:space="0" w:color="auto"/>
                      </w:divBdr>
                      <w:divsChild>
                        <w:div w:id="1200629116">
                          <w:marLeft w:val="0"/>
                          <w:marRight w:val="0"/>
                          <w:marTop w:val="0"/>
                          <w:marBottom w:val="0"/>
                          <w:divBdr>
                            <w:top w:val="none" w:sz="0" w:space="0" w:color="auto"/>
                            <w:left w:val="none" w:sz="0" w:space="0" w:color="auto"/>
                            <w:bottom w:val="none" w:sz="0" w:space="0" w:color="auto"/>
                            <w:right w:val="none" w:sz="0" w:space="0" w:color="auto"/>
                          </w:divBdr>
                          <w:divsChild>
                            <w:div w:id="301542091">
                              <w:marLeft w:val="0"/>
                              <w:marRight w:val="0"/>
                              <w:marTop w:val="0"/>
                              <w:marBottom w:val="0"/>
                              <w:divBdr>
                                <w:top w:val="none" w:sz="0" w:space="0" w:color="auto"/>
                                <w:left w:val="none" w:sz="0" w:space="0" w:color="auto"/>
                                <w:bottom w:val="none" w:sz="0" w:space="0" w:color="auto"/>
                                <w:right w:val="none" w:sz="0" w:space="0" w:color="auto"/>
                              </w:divBdr>
                              <w:divsChild>
                                <w:div w:id="68813458">
                                  <w:marLeft w:val="0"/>
                                  <w:marRight w:val="0"/>
                                  <w:marTop w:val="0"/>
                                  <w:marBottom w:val="0"/>
                                  <w:divBdr>
                                    <w:top w:val="none" w:sz="0" w:space="0" w:color="auto"/>
                                    <w:left w:val="none" w:sz="0" w:space="0" w:color="auto"/>
                                    <w:bottom w:val="none" w:sz="0" w:space="0" w:color="auto"/>
                                    <w:right w:val="none" w:sz="0" w:space="0" w:color="auto"/>
                                  </w:divBdr>
                                  <w:divsChild>
                                    <w:div w:id="95108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740988">
                          <w:marLeft w:val="0"/>
                          <w:marRight w:val="0"/>
                          <w:marTop w:val="0"/>
                          <w:marBottom w:val="0"/>
                          <w:divBdr>
                            <w:top w:val="none" w:sz="0" w:space="0" w:color="auto"/>
                            <w:left w:val="none" w:sz="0" w:space="0" w:color="auto"/>
                            <w:bottom w:val="none" w:sz="0" w:space="0" w:color="auto"/>
                            <w:right w:val="none" w:sz="0" w:space="0" w:color="auto"/>
                          </w:divBdr>
                          <w:divsChild>
                            <w:div w:id="403651880">
                              <w:marLeft w:val="0"/>
                              <w:marRight w:val="0"/>
                              <w:marTop w:val="0"/>
                              <w:marBottom w:val="0"/>
                              <w:divBdr>
                                <w:top w:val="none" w:sz="0" w:space="0" w:color="auto"/>
                                <w:left w:val="none" w:sz="0" w:space="0" w:color="auto"/>
                                <w:bottom w:val="none" w:sz="0" w:space="0" w:color="auto"/>
                                <w:right w:val="none" w:sz="0" w:space="0" w:color="auto"/>
                              </w:divBdr>
                              <w:divsChild>
                                <w:div w:id="61147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7128844">
      <w:bodyDiv w:val="1"/>
      <w:marLeft w:val="0"/>
      <w:marRight w:val="0"/>
      <w:marTop w:val="0"/>
      <w:marBottom w:val="0"/>
      <w:divBdr>
        <w:top w:val="none" w:sz="0" w:space="0" w:color="auto"/>
        <w:left w:val="none" w:sz="0" w:space="0" w:color="auto"/>
        <w:bottom w:val="none" w:sz="0" w:space="0" w:color="auto"/>
        <w:right w:val="none" w:sz="0" w:space="0" w:color="auto"/>
      </w:divBdr>
    </w:div>
    <w:div w:id="620649140">
      <w:bodyDiv w:val="1"/>
      <w:marLeft w:val="0"/>
      <w:marRight w:val="0"/>
      <w:marTop w:val="0"/>
      <w:marBottom w:val="0"/>
      <w:divBdr>
        <w:top w:val="none" w:sz="0" w:space="0" w:color="auto"/>
        <w:left w:val="none" w:sz="0" w:space="0" w:color="auto"/>
        <w:bottom w:val="none" w:sz="0" w:space="0" w:color="auto"/>
        <w:right w:val="none" w:sz="0" w:space="0" w:color="auto"/>
      </w:divBdr>
    </w:div>
    <w:div w:id="723215825">
      <w:bodyDiv w:val="1"/>
      <w:marLeft w:val="0"/>
      <w:marRight w:val="0"/>
      <w:marTop w:val="0"/>
      <w:marBottom w:val="0"/>
      <w:divBdr>
        <w:top w:val="none" w:sz="0" w:space="0" w:color="auto"/>
        <w:left w:val="none" w:sz="0" w:space="0" w:color="auto"/>
        <w:bottom w:val="none" w:sz="0" w:space="0" w:color="auto"/>
        <w:right w:val="none" w:sz="0" w:space="0" w:color="auto"/>
      </w:divBdr>
    </w:div>
    <w:div w:id="730232636">
      <w:bodyDiv w:val="1"/>
      <w:marLeft w:val="0"/>
      <w:marRight w:val="0"/>
      <w:marTop w:val="0"/>
      <w:marBottom w:val="0"/>
      <w:divBdr>
        <w:top w:val="none" w:sz="0" w:space="0" w:color="auto"/>
        <w:left w:val="none" w:sz="0" w:space="0" w:color="auto"/>
        <w:bottom w:val="none" w:sz="0" w:space="0" w:color="auto"/>
        <w:right w:val="none" w:sz="0" w:space="0" w:color="auto"/>
      </w:divBdr>
    </w:div>
    <w:div w:id="755519963">
      <w:bodyDiv w:val="1"/>
      <w:marLeft w:val="0"/>
      <w:marRight w:val="0"/>
      <w:marTop w:val="0"/>
      <w:marBottom w:val="0"/>
      <w:divBdr>
        <w:top w:val="none" w:sz="0" w:space="0" w:color="auto"/>
        <w:left w:val="none" w:sz="0" w:space="0" w:color="auto"/>
        <w:bottom w:val="none" w:sz="0" w:space="0" w:color="auto"/>
        <w:right w:val="none" w:sz="0" w:space="0" w:color="auto"/>
      </w:divBdr>
    </w:div>
    <w:div w:id="844519979">
      <w:bodyDiv w:val="1"/>
      <w:marLeft w:val="0"/>
      <w:marRight w:val="0"/>
      <w:marTop w:val="0"/>
      <w:marBottom w:val="0"/>
      <w:divBdr>
        <w:top w:val="none" w:sz="0" w:space="0" w:color="auto"/>
        <w:left w:val="none" w:sz="0" w:space="0" w:color="auto"/>
        <w:bottom w:val="none" w:sz="0" w:space="0" w:color="auto"/>
        <w:right w:val="none" w:sz="0" w:space="0" w:color="auto"/>
      </w:divBdr>
    </w:div>
    <w:div w:id="882668206">
      <w:bodyDiv w:val="1"/>
      <w:marLeft w:val="0"/>
      <w:marRight w:val="0"/>
      <w:marTop w:val="0"/>
      <w:marBottom w:val="0"/>
      <w:divBdr>
        <w:top w:val="none" w:sz="0" w:space="0" w:color="auto"/>
        <w:left w:val="none" w:sz="0" w:space="0" w:color="auto"/>
        <w:bottom w:val="none" w:sz="0" w:space="0" w:color="auto"/>
        <w:right w:val="none" w:sz="0" w:space="0" w:color="auto"/>
      </w:divBdr>
    </w:div>
    <w:div w:id="973566023">
      <w:bodyDiv w:val="1"/>
      <w:marLeft w:val="0"/>
      <w:marRight w:val="0"/>
      <w:marTop w:val="0"/>
      <w:marBottom w:val="0"/>
      <w:divBdr>
        <w:top w:val="none" w:sz="0" w:space="0" w:color="auto"/>
        <w:left w:val="none" w:sz="0" w:space="0" w:color="auto"/>
        <w:bottom w:val="none" w:sz="0" w:space="0" w:color="auto"/>
        <w:right w:val="none" w:sz="0" w:space="0" w:color="auto"/>
      </w:divBdr>
    </w:div>
    <w:div w:id="994996307">
      <w:bodyDiv w:val="1"/>
      <w:marLeft w:val="0"/>
      <w:marRight w:val="0"/>
      <w:marTop w:val="0"/>
      <w:marBottom w:val="0"/>
      <w:divBdr>
        <w:top w:val="none" w:sz="0" w:space="0" w:color="auto"/>
        <w:left w:val="none" w:sz="0" w:space="0" w:color="auto"/>
        <w:bottom w:val="none" w:sz="0" w:space="0" w:color="auto"/>
        <w:right w:val="none" w:sz="0" w:space="0" w:color="auto"/>
      </w:divBdr>
      <w:divsChild>
        <w:div w:id="466164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7656079">
      <w:bodyDiv w:val="1"/>
      <w:marLeft w:val="0"/>
      <w:marRight w:val="0"/>
      <w:marTop w:val="0"/>
      <w:marBottom w:val="0"/>
      <w:divBdr>
        <w:top w:val="none" w:sz="0" w:space="0" w:color="auto"/>
        <w:left w:val="none" w:sz="0" w:space="0" w:color="auto"/>
        <w:bottom w:val="none" w:sz="0" w:space="0" w:color="auto"/>
        <w:right w:val="none" w:sz="0" w:space="0" w:color="auto"/>
      </w:divBdr>
    </w:div>
    <w:div w:id="1053699998">
      <w:bodyDiv w:val="1"/>
      <w:marLeft w:val="0"/>
      <w:marRight w:val="0"/>
      <w:marTop w:val="0"/>
      <w:marBottom w:val="0"/>
      <w:divBdr>
        <w:top w:val="none" w:sz="0" w:space="0" w:color="auto"/>
        <w:left w:val="none" w:sz="0" w:space="0" w:color="auto"/>
        <w:bottom w:val="none" w:sz="0" w:space="0" w:color="auto"/>
        <w:right w:val="none" w:sz="0" w:space="0" w:color="auto"/>
      </w:divBdr>
    </w:div>
    <w:div w:id="1165128171">
      <w:bodyDiv w:val="1"/>
      <w:marLeft w:val="0"/>
      <w:marRight w:val="0"/>
      <w:marTop w:val="0"/>
      <w:marBottom w:val="0"/>
      <w:divBdr>
        <w:top w:val="none" w:sz="0" w:space="0" w:color="auto"/>
        <w:left w:val="none" w:sz="0" w:space="0" w:color="auto"/>
        <w:bottom w:val="none" w:sz="0" w:space="0" w:color="auto"/>
        <w:right w:val="none" w:sz="0" w:space="0" w:color="auto"/>
      </w:divBdr>
      <w:divsChild>
        <w:div w:id="122698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6183985">
      <w:bodyDiv w:val="1"/>
      <w:marLeft w:val="0"/>
      <w:marRight w:val="0"/>
      <w:marTop w:val="0"/>
      <w:marBottom w:val="0"/>
      <w:divBdr>
        <w:top w:val="none" w:sz="0" w:space="0" w:color="auto"/>
        <w:left w:val="none" w:sz="0" w:space="0" w:color="auto"/>
        <w:bottom w:val="none" w:sz="0" w:space="0" w:color="auto"/>
        <w:right w:val="none" w:sz="0" w:space="0" w:color="auto"/>
      </w:divBdr>
    </w:div>
    <w:div w:id="1297489159">
      <w:bodyDiv w:val="1"/>
      <w:marLeft w:val="0"/>
      <w:marRight w:val="0"/>
      <w:marTop w:val="0"/>
      <w:marBottom w:val="0"/>
      <w:divBdr>
        <w:top w:val="none" w:sz="0" w:space="0" w:color="auto"/>
        <w:left w:val="none" w:sz="0" w:space="0" w:color="auto"/>
        <w:bottom w:val="none" w:sz="0" w:space="0" w:color="auto"/>
        <w:right w:val="none" w:sz="0" w:space="0" w:color="auto"/>
      </w:divBdr>
    </w:div>
    <w:div w:id="1466046428">
      <w:bodyDiv w:val="1"/>
      <w:marLeft w:val="0"/>
      <w:marRight w:val="0"/>
      <w:marTop w:val="0"/>
      <w:marBottom w:val="0"/>
      <w:divBdr>
        <w:top w:val="none" w:sz="0" w:space="0" w:color="auto"/>
        <w:left w:val="none" w:sz="0" w:space="0" w:color="auto"/>
        <w:bottom w:val="none" w:sz="0" w:space="0" w:color="auto"/>
        <w:right w:val="none" w:sz="0" w:space="0" w:color="auto"/>
      </w:divBdr>
    </w:div>
    <w:div w:id="1503230214">
      <w:bodyDiv w:val="1"/>
      <w:marLeft w:val="0"/>
      <w:marRight w:val="0"/>
      <w:marTop w:val="0"/>
      <w:marBottom w:val="0"/>
      <w:divBdr>
        <w:top w:val="none" w:sz="0" w:space="0" w:color="auto"/>
        <w:left w:val="none" w:sz="0" w:space="0" w:color="auto"/>
        <w:bottom w:val="none" w:sz="0" w:space="0" w:color="auto"/>
        <w:right w:val="none" w:sz="0" w:space="0" w:color="auto"/>
      </w:divBdr>
    </w:div>
    <w:div w:id="1574462360">
      <w:bodyDiv w:val="1"/>
      <w:marLeft w:val="0"/>
      <w:marRight w:val="0"/>
      <w:marTop w:val="0"/>
      <w:marBottom w:val="0"/>
      <w:divBdr>
        <w:top w:val="none" w:sz="0" w:space="0" w:color="auto"/>
        <w:left w:val="none" w:sz="0" w:space="0" w:color="auto"/>
        <w:bottom w:val="none" w:sz="0" w:space="0" w:color="auto"/>
        <w:right w:val="none" w:sz="0" w:space="0" w:color="auto"/>
      </w:divBdr>
      <w:divsChild>
        <w:div w:id="902444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161269">
      <w:bodyDiv w:val="1"/>
      <w:marLeft w:val="0"/>
      <w:marRight w:val="0"/>
      <w:marTop w:val="0"/>
      <w:marBottom w:val="0"/>
      <w:divBdr>
        <w:top w:val="none" w:sz="0" w:space="0" w:color="auto"/>
        <w:left w:val="none" w:sz="0" w:space="0" w:color="auto"/>
        <w:bottom w:val="none" w:sz="0" w:space="0" w:color="auto"/>
        <w:right w:val="none" w:sz="0" w:space="0" w:color="auto"/>
      </w:divBdr>
    </w:div>
    <w:div w:id="1695571039">
      <w:bodyDiv w:val="1"/>
      <w:marLeft w:val="0"/>
      <w:marRight w:val="0"/>
      <w:marTop w:val="0"/>
      <w:marBottom w:val="0"/>
      <w:divBdr>
        <w:top w:val="none" w:sz="0" w:space="0" w:color="auto"/>
        <w:left w:val="none" w:sz="0" w:space="0" w:color="auto"/>
        <w:bottom w:val="none" w:sz="0" w:space="0" w:color="auto"/>
        <w:right w:val="none" w:sz="0" w:space="0" w:color="auto"/>
      </w:divBdr>
    </w:div>
    <w:div w:id="1770739930">
      <w:bodyDiv w:val="1"/>
      <w:marLeft w:val="0"/>
      <w:marRight w:val="0"/>
      <w:marTop w:val="0"/>
      <w:marBottom w:val="0"/>
      <w:divBdr>
        <w:top w:val="none" w:sz="0" w:space="0" w:color="auto"/>
        <w:left w:val="none" w:sz="0" w:space="0" w:color="auto"/>
        <w:bottom w:val="none" w:sz="0" w:space="0" w:color="auto"/>
        <w:right w:val="none" w:sz="0" w:space="0" w:color="auto"/>
      </w:divBdr>
    </w:div>
    <w:div w:id="1932395203">
      <w:bodyDiv w:val="1"/>
      <w:marLeft w:val="0"/>
      <w:marRight w:val="0"/>
      <w:marTop w:val="0"/>
      <w:marBottom w:val="0"/>
      <w:divBdr>
        <w:top w:val="none" w:sz="0" w:space="0" w:color="auto"/>
        <w:left w:val="none" w:sz="0" w:space="0" w:color="auto"/>
        <w:bottom w:val="none" w:sz="0" w:space="0" w:color="auto"/>
        <w:right w:val="none" w:sz="0" w:space="0" w:color="auto"/>
      </w:divBdr>
    </w:div>
    <w:div w:id="1934314871">
      <w:bodyDiv w:val="1"/>
      <w:marLeft w:val="0"/>
      <w:marRight w:val="0"/>
      <w:marTop w:val="0"/>
      <w:marBottom w:val="0"/>
      <w:divBdr>
        <w:top w:val="none" w:sz="0" w:space="0" w:color="auto"/>
        <w:left w:val="none" w:sz="0" w:space="0" w:color="auto"/>
        <w:bottom w:val="none" w:sz="0" w:space="0" w:color="auto"/>
        <w:right w:val="none" w:sz="0" w:space="0" w:color="auto"/>
      </w:divBdr>
    </w:div>
    <w:div w:id="1955020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8</Pages>
  <Words>2681</Words>
  <Characters>15285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Shady</dc:creator>
  <cp:keywords/>
  <dc:description/>
  <cp:lastModifiedBy>User</cp:lastModifiedBy>
  <cp:revision>10</cp:revision>
  <cp:lastPrinted>2024-08-10T23:18:00Z</cp:lastPrinted>
  <dcterms:created xsi:type="dcterms:W3CDTF">2025-03-04T22:29:00Z</dcterms:created>
  <dcterms:modified xsi:type="dcterms:W3CDTF">2025-04-17T09:12:00Z</dcterms:modified>
</cp:coreProperties>
</file>