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346E7" w14:textId="57108DCB" w:rsidR="00057AF8" w:rsidRDefault="00CE7D7A" w:rsidP="00CE7D7A">
      <w:pPr>
        <w:spacing w:after="0" w:line="240" w:lineRule="auto"/>
        <w:jc w:val="both"/>
        <w:rPr>
          <w:rFonts w:ascii="Sakkal Majalla" w:eastAsia="Times New Roman" w:hAnsi="Sakkal Majalla" w:cs="Sakkal Majalla"/>
          <w:color w:val="333333"/>
          <w:sz w:val="26"/>
          <w:szCs w:val="26"/>
          <w:rtl/>
        </w:rPr>
      </w:pPr>
      <w:r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 xml:space="preserve">التاريخ : </w:t>
      </w:r>
      <w:r>
        <w:rPr>
          <w:rFonts w:ascii="Sakkal Majalla" w:eastAsia="Times New Roman" w:hAnsi="Sakkal Majalla" w:cs="Sakkal Majalla" w:hint="cs"/>
          <w:color w:val="333333"/>
          <w:sz w:val="26"/>
          <w:szCs w:val="26"/>
          <w:rtl/>
          <w:lang w:bidi="ar-EG"/>
        </w:rPr>
        <w:t>06</w:t>
      </w:r>
      <w:r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/11</w:t>
      </w:r>
      <w:r w:rsidR="00057AF8" w:rsidRPr="00057AF8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/1445هــ</w:t>
      </w:r>
      <w:r w:rsidR="00F814EF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ـ</w:t>
      </w:r>
      <w:r w:rsidR="002F0BDD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ـ</w:t>
      </w:r>
    </w:p>
    <w:p w14:paraId="20ADE39A" w14:textId="57190E83" w:rsidR="0013772C" w:rsidRPr="00EF10CD" w:rsidRDefault="00852D4E" w:rsidP="002F0BDD">
      <w:pPr>
        <w:spacing w:after="0" w:line="240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أصحاب ال</w:t>
      </w:r>
      <w:r w:rsidR="00D717D7"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 xml:space="preserve">فضيلة رئيس </w:t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وأعضاء </w:t>
      </w:r>
      <w:r w:rsidR="0040585B"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الدائرة الجزائية </w:t>
      </w:r>
      <w:r w:rsidR="00CE7D7A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الرابعة المشتركة</w:t>
      </w:r>
      <w:r w:rsidR="0040585B"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 ب</w:t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الرياض </w:t>
      </w:r>
      <w:r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="00F814EF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سلمهم الله</w:t>
      </w:r>
    </w:p>
    <w:p w14:paraId="25701C1D" w14:textId="4C7D18C5" w:rsidR="00852D4E" w:rsidRPr="00EF10CD" w:rsidRDefault="00852D4E" w:rsidP="002F0BDD">
      <w:pPr>
        <w:spacing w:after="0" w:line="276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السلام عليكم ورحمة الله وبركاته ،،،،</w:t>
      </w:r>
    </w:p>
    <w:p w14:paraId="3BDD9A0C" w14:textId="551B289B" w:rsidR="0013772C" w:rsidRPr="00592E95" w:rsidRDefault="00F612D9" w:rsidP="008E3493">
      <w:pPr>
        <w:spacing w:before="240" w:line="240" w:lineRule="auto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592E9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بداية فإن لائحة المدعي العام تتلخص في إتهام موكلي بعدد من التهم الموصوفة بلائحة الاتهام </w:t>
      </w:r>
      <w:r w:rsidR="00592E95">
        <w:rPr>
          <w:rFonts w:ascii="Sakkal Majalla" w:hAnsi="Sakkal Majalla" w:cs="Sakkal Majalla" w:hint="cs"/>
          <w:b/>
          <w:bCs/>
          <w:sz w:val="30"/>
          <w:szCs w:val="30"/>
          <w:rtl/>
        </w:rPr>
        <w:t>و</w:t>
      </w:r>
      <w:r w:rsidR="0013772C" w:rsidRPr="00592E95">
        <w:rPr>
          <w:rFonts w:ascii="Sakkal Majalla" w:hAnsi="Sakkal Majalla" w:cs="Sakkal Majalla" w:hint="cs"/>
          <w:b/>
          <w:bCs/>
          <w:sz w:val="30"/>
          <w:szCs w:val="30"/>
          <w:rtl/>
        </w:rPr>
        <w:t>تنحصر بالآتي:</w:t>
      </w:r>
    </w:p>
    <w:p w14:paraId="45F47CF3" w14:textId="48E42027" w:rsidR="0013772C" w:rsidRDefault="00CE7D7A" w:rsidP="00592E95">
      <w:pPr>
        <w:pStyle w:val="ListParagraph"/>
        <w:numPr>
          <w:ilvl w:val="0"/>
          <w:numId w:val="12"/>
        </w:numPr>
        <w:spacing w:after="0" w:line="276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 xml:space="preserve">إتهامه </w:t>
      </w:r>
      <w:r w:rsidR="00F612D9" w:rsidRPr="0013772C">
        <w:rPr>
          <w:rFonts w:ascii="Sakkal Majalla" w:hAnsi="Sakkal Majalla" w:cs="Sakkal Majalla" w:hint="cs"/>
          <w:sz w:val="30"/>
          <w:szCs w:val="30"/>
          <w:rtl/>
        </w:rPr>
        <w:t xml:space="preserve">بإمداد ودعم المتهم الأول بشراء جهاز جوال 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 xml:space="preserve">مع شريحته، 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وتمويله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 xml:space="preserve"> ب</w:t>
      </w:r>
      <w:r w:rsidR="00F612D9" w:rsidRPr="0013772C">
        <w:rPr>
          <w:rFonts w:ascii="Sakkal Majalla" w:hAnsi="Sakkal Majalla" w:cs="Sakkal Majalla" w:hint="cs"/>
          <w:sz w:val="30"/>
          <w:szCs w:val="30"/>
          <w:rtl/>
        </w:rPr>
        <w:t>دفع إيجار شقه مفروشة له، والتستر عليه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38A68B2A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الاشتراك في حيازة سلاح بدون ترخيص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6E10F416" w14:textId="6D693130" w:rsidR="0013772C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الشروع في بيع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 xml:space="preserve"> سلاح رشاش عائد للمتهم الأول.</w:t>
      </w:r>
    </w:p>
    <w:p w14:paraId="2736B86C" w14:textId="67134D8B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التستر علي من يت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اجرون بالأسلحة النارية وذخيرتها.</w:t>
      </w:r>
    </w:p>
    <w:p w14:paraId="2CCA8643" w14:textId="77777777" w:rsidR="00592E95" w:rsidRP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تخزين ما من شأنه المساس بالنظام العام</w:t>
      </w:r>
      <w:r w:rsidR="00592E95">
        <w:rPr>
          <w:rFonts w:ascii="Sakkal Majalla" w:hAnsi="Sakkal Majalla" w:cs="Sakkal Majalla"/>
          <w:sz w:val="30"/>
          <w:szCs w:val="30"/>
        </w:rPr>
        <w:t xml:space="preserve"> </w:t>
      </w:r>
      <w:r w:rsidR="00592E95">
        <w:rPr>
          <w:rFonts w:ascii="Sakkal Majalla" w:hAnsi="Sakkal Majalla" w:cs="Sakkal Majalla" w:hint="cs"/>
          <w:sz w:val="30"/>
          <w:szCs w:val="30"/>
          <w:rtl/>
          <w:lang w:val="en-GB" w:bidi="ar-EG"/>
        </w:rPr>
        <w:t>من خلال تخزينه صورة سلاح رشاش عبر جهازه الجوال.</w:t>
      </w:r>
    </w:p>
    <w:p w14:paraId="2389ADE4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ترويج المخدرات والت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ستر على من يقوم بترويج المخدرات.</w:t>
      </w:r>
    </w:p>
    <w:p w14:paraId="726CCC9B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تعاطي الحشيش وحبوب الكبتاجون المحظورة وشرب المسكر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7AE49465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فعل فاحشة اللواط بأحد الاشخاص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66F5F5D7" w14:textId="5FA916F6" w:rsidR="00213008" w:rsidRPr="00A50C46" w:rsidRDefault="00592E95" w:rsidP="008E3493">
      <w:pPr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A50C46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أولاً بالنسبة للتهمة الأولى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/>
          <w:sz w:val="30"/>
          <w:szCs w:val="30"/>
          <w:rtl/>
        </w:rPr>
        <w:t>–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فهي تتناقض مع لائحة المدعي العام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وذلك بسبب توجيه الإتهام للمتهم الأول بأنه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حاول إدخال المتهم الثاني (بندر الحربي) للمركز بدون التقييد بتعليمات جائحة كورونا .........، وكذلك إتهامه أيضاَ بإجبار المتهم الثاني (بندر الحربي) على شراء جوال وشريحته (ومثبت ذلك بلائحة الإتهام)</w:t>
      </w:r>
      <w:r w:rsidR="0021300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213008">
        <w:rPr>
          <w:rFonts w:ascii="Sakkal Majalla" w:hAnsi="Sakkal Majalla" w:cs="Sakkal Majalla"/>
          <w:sz w:val="30"/>
          <w:szCs w:val="30"/>
          <w:rtl/>
        </w:rPr>
        <w:t>–</w:t>
      </w:r>
      <w:r w:rsidR="0021300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ويتلاحظ لفضيلتكم أن إتهام المدعي العام للمتهم الأول بإجبار المتهم الثاني على التصرف المنسوب إليه يخلي سبيل المتهم الثاني (بندر الحربي) من التهمة المنسوبة إليه </w:t>
      </w:r>
      <w:r w:rsidR="00213008" w:rsidRPr="008E3493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لما في ذلك من دلالة واضحة على عدم إتجاة إرادة موكلي لإفتعال جرم او الإقدام عليه </w:t>
      </w:r>
      <w:r w:rsidR="00213008" w:rsidRPr="008E3493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وإنما أكره وأجبر على فعله بحسب وصف المدعي العام نفسه</w:t>
      </w:r>
      <w:r w:rsidR="00213008" w:rsidRPr="008E3493">
        <w:rPr>
          <w:rFonts w:ascii="Sakkal Majalla" w:hAnsi="Sakkal Majalla" w:cs="Sakkal Majalla" w:hint="cs"/>
          <w:sz w:val="30"/>
          <w:szCs w:val="30"/>
          <w:u w:val="single"/>
          <w:rtl/>
        </w:rPr>
        <w:t xml:space="preserve"> </w:t>
      </w:r>
      <w:r w:rsidR="00213008" w:rsidRPr="008E3493">
        <w:rPr>
          <w:rFonts w:ascii="Sakkal Majalla" w:hAnsi="Sakkal Majalla" w:cs="Sakkal Majalla"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sz w:val="30"/>
          <w:szCs w:val="30"/>
          <w:u w:val="single"/>
          <w:rtl/>
        </w:rPr>
        <w:t xml:space="preserve">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أضف إلى ذلك إقرار المتهم الأول بالتحقيقات أن </w:t>
      </w:r>
      <w:r w:rsidR="00A50C46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بندر الحربي كان يقوم بالتفريق بين المتشاجرين وليس له علاقة بالمشاجرة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>، وأكمل بأنه من طلب من بندر الحربي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الذهاب معه بسيارته واجبره على شراء جوال والجلوس معه بالشقة المفروشة </w:t>
      </w:r>
      <w:r w:rsidR="00A50C46" w:rsidRPr="00A50C46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وتلك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أدلة دامغة 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>تنتفي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معها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مسئولية المتهم </w:t>
      </w:r>
      <w:r w:rsidR="008E3493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>الثاني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من التهمة المنسبة إليه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بهذا الصدد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>.</w:t>
      </w:r>
    </w:p>
    <w:p w14:paraId="4D8F8693" w14:textId="55772EC2" w:rsidR="006A2FF8" w:rsidRDefault="00213008" w:rsidP="008E3493">
      <w:pPr>
        <w:spacing w:before="240" w:after="0" w:line="240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ثانياً بالنسبة للتهم</w:t>
      </w:r>
      <w:r w:rsidR="00A50C46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الأخرى فجميعها</w:t>
      </w:r>
      <w:r w:rsidR="00A50C46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A50C46">
        <w:rPr>
          <w:rFonts w:ascii="Sakkal Majalla" w:hAnsi="Sakkal Majalla" w:cs="Sakkal Majalla"/>
          <w:sz w:val="30"/>
          <w:szCs w:val="30"/>
          <w:rtl/>
        </w:rPr>
        <w:t>–</w:t>
      </w:r>
      <w:r w:rsidR="00A50C46">
        <w:rPr>
          <w:rFonts w:ascii="Sakkal Majalla" w:hAnsi="Sakkal Majalla" w:cs="Sakkal Majalla" w:hint="cs"/>
          <w:sz w:val="30"/>
          <w:szCs w:val="30"/>
          <w:rtl/>
        </w:rPr>
        <w:t xml:space="preserve"> ينكرها موكلي جملة وتفصيلاً لعدم صحتها وعدم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>تقديم المدعي العام أي أدلة تؤكد حدوثها وإرتكاب موكلي لها</w:t>
      </w:r>
      <w:r w:rsidR="006A2FF8">
        <w:rPr>
          <w:rFonts w:ascii="Sakkal Majalla" w:hAnsi="Sakkal Majalla" w:cs="Sakkal Majalla"/>
          <w:sz w:val="30"/>
          <w:szCs w:val="30"/>
          <w:rtl/>
        </w:rPr>
        <w:t>–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بالإضافة لعدم وجود أي محاضر ضبط لموكلي بهذه التهم - فلا توجد أي إشارة لضبط موكلي نهائياً بحيازة أسلحة أو الإتجار فيها وكذلك تعاطي المخدرات والإتجار فيها وفاحشة اللوط المذكورة </w:t>
      </w:r>
      <w:r w:rsidR="006A2FF8">
        <w:rPr>
          <w:rFonts w:ascii="Sakkal Majalla" w:hAnsi="Sakkal Majalla" w:cs="Sakkal Majalla"/>
          <w:sz w:val="30"/>
          <w:szCs w:val="30"/>
          <w:rtl/>
        </w:rPr>
        <w:t>–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ونؤكد ان موكلي لم يتم ضبطه بأي أسلحه او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مخدرات </w:t>
      </w:r>
      <w:r w:rsidR="004814E9">
        <w:rPr>
          <w:rFonts w:ascii="Sakkal Majalla" w:hAnsi="Sakkal Majalla" w:cs="Sakkal Majalla"/>
          <w:sz w:val="30"/>
          <w:szCs w:val="30"/>
          <w:rtl/>
        </w:rPr>
        <w:t>–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>فكيف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إذن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توجه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له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التهمة على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وقائع إفتراضيه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لم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>تضبط ولم يحرر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بشأنها محاضر ضبط من الجهات المختصة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>
        <w:rPr>
          <w:rFonts w:ascii="Sakkal Majalla" w:hAnsi="Sakkal Majalla" w:cs="Sakkal Majalla"/>
          <w:sz w:val="30"/>
          <w:szCs w:val="30"/>
          <w:rtl/>
        </w:rPr>
        <w:t>–</w:t>
      </w:r>
      <w:r w:rsidR="0037291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إذ أن ضبط الجريمة وتحرير محضر بها يعد من الضمانات النظامية والشرعية التي تؤكد وقوع الجريمة بحق مرتكبها </w:t>
      </w:r>
      <w:r w:rsidR="00372918">
        <w:rPr>
          <w:rFonts w:ascii="Sakkal Majalla" w:hAnsi="Sakkal Majalla" w:cs="Sakkal Majalla"/>
          <w:sz w:val="30"/>
          <w:szCs w:val="30"/>
          <w:rtl/>
        </w:rPr>
        <w:t>–</w:t>
      </w:r>
      <w:r w:rsidR="0037291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لذلك فإن عدم وجود محضر ضبط للمخالفة </w:t>
      </w:r>
      <w:r w:rsidR="004814E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يجعل وقوعها أمر ظني الحدوث يحتمل وقوعه من عدمه، ولا يمكن إحالة متهم للمحاكمة ومعاقبته على جرائم </w:t>
      </w:r>
      <w:r w:rsidR="00F02216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محتملة الحدوث</w:t>
      </w:r>
      <w:r w:rsid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،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 xml:space="preserve"> ك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ما أن هذه 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الجرائم تكون متعددة الأطراف مثلاً واقعة الإتجار بالأسلحة أو المخدرات لا تقع بدون طرف مشتري وضبط وتحريز المضبوطات الممنوعة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فأين إذن اطراف الوقائع الإجرامية محل الإتهام الموصوف ومن هم وهل سبق تقديم أي بلاغات بهذا الخصوص أو توجد أدلة واقعية على وقوع تلك الجرائم </w:t>
      </w:r>
      <w:r w:rsidR="008E3493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ل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 xml:space="preserve">ذلك 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تكون لائحة الإتهام غير واقعية فيما آلت إليه من إتهام لمخالفتها ظاهر الحال وحقيقة الواقع </w:t>
      </w:r>
      <w:r w:rsidR="00F02216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مما يؤكد 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عدم إنطباق لائحة الإتهام مع الجرائم المنسوبة لموكلي وإختلافها عن الواقع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8E3493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وعدم جواز معاقبة متهم على وقائع ظنية الحدوث غير مؤكدة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317151AF" w14:textId="3A269F6B" w:rsidR="00B906B3" w:rsidRPr="00F814EF" w:rsidRDefault="00F02216" w:rsidP="00B97ED9">
      <w:pPr>
        <w:spacing w:before="240" w:line="276" w:lineRule="auto"/>
        <w:jc w:val="both"/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lastRenderedPageBreak/>
        <w:t xml:space="preserve">ثالثاً </w:t>
      </w:r>
      <w:r w:rsidR="00B906B3" w:rsidRPr="00F814E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انعدا</w:t>
      </w:r>
      <w:r w:rsidR="00F814E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م ركني الجريمة المادي والمعنوى</w:t>
      </w:r>
      <w:r w:rsidR="00F814EF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:</w:t>
      </w:r>
    </w:p>
    <w:p w14:paraId="2DCC80DB" w14:textId="2C4892F9" w:rsidR="00B906B3" w:rsidRPr="00EF10CD" w:rsidRDefault="00F86A14" w:rsidP="008E3493">
      <w:pPr>
        <w:spacing w:line="240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F86A14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بالنسبة للركن المادي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نجد محاضر التحقيقات تؤكد أن المتهم الثاني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كان مجبراً مكرهاً على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تصرفاته اللاحقة للواقعة دون إختيار وتدبير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منه </w:t>
      </w:r>
      <w:r w:rsidR="00F02216"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لما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تضمنته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ال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أوراق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من إقرار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المتهم الأول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بتهديد المتهم الثاني له 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بمرافقته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ب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السيارة والبقاء مع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ه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بالشقق</w:t>
      </w:r>
      <w:r w:rsidR="00876FAF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الفندقية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، </w:t>
      </w:r>
      <w:r w:rsidR="00F02216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و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ذلك 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يؤكد إنتفاء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حرية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الإرادة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والاختيار 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 وبالتالي </w:t>
      </w:r>
      <w:r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إنعدام الركن </w:t>
      </w:r>
      <w:r w:rsidR="00876FAF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المادي للجريمة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.</w:t>
      </w:r>
    </w:p>
    <w:p w14:paraId="20C65C62" w14:textId="68D243AC" w:rsidR="00F86A14" w:rsidRPr="00371B0C" w:rsidRDefault="00F86A14" w:rsidP="008E3493">
      <w:pPr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 w:rsidRP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وعن الركن المعنوي أو </w:t>
      </w:r>
      <w:r w:rsidRPr="00F86A14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القصد الجنائي الخاص للمتهم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نتمسك بوصف المدعي العام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سابق الاشارة إليه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بأن المتهم الثاني كان مجبراً مكرهاً في تواجده بموقع الحادث وإجبار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المتهم الأول له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على الذهاب مع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ه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للشق 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المفروشة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وغيره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يدل على أنه لم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يكن مخططاً أو لديه نية 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وترتيب سابق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>أو دافع معنوي للتواجد اصلا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>ً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 بالموقع وإنما دفعته الصدفة للتواجد بمكان الواقعة بحكم مرافقته 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وصحبته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للمتهم الأول </w:t>
      </w:r>
      <w:r w:rsidR="003A25AD" w:rsidRPr="00371B0C">
        <w:rPr>
          <w:rFonts w:ascii="Sakkal Majalla" w:hAnsi="Sakkal Majalla" w:cs="Sakkal Majalla"/>
          <w:b/>
          <w:bCs/>
          <w:sz w:val="30"/>
          <w:szCs w:val="30"/>
          <w:rtl/>
          <w:lang w:bidi="ar-EG"/>
        </w:rPr>
        <w:t>–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مما </w:t>
      </w:r>
      <w:r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يؤكد إنتفاء الركني المادي والمعنوي للجريمة</w:t>
      </w:r>
      <w:r w:rsidRPr="00371B0C">
        <w:rPr>
          <w:rFonts w:ascii="Sakkal Majalla" w:hAnsi="Sakkal Majalla" w:cs="Sakkal Majalla"/>
          <w:b/>
          <w:bCs/>
          <w:sz w:val="30"/>
          <w:szCs w:val="30"/>
          <w:rtl/>
        </w:rPr>
        <w:t>.</w:t>
      </w:r>
    </w:p>
    <w:p w14:paraId="7FBC144E" w14:textId="6DCC5FC9" w:rsidR="00F814EF" w:rsidRPr="008E3493" w:rsidRDefault="00876FAF" w:rsidP="008E3493">
      <w:pPr>
        <w:pStyle w:val="ListParagraph"/>
        <w:numPr>
          <w:ilvl w:val="0"/>
          <w:numId w:val="2"/>
        </w:numPr>
        <w:spacing w:line="240" w:lineRule="auto"/>
        <w:ind w:left="142" w:hanging="142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أضف إلى ذلك أن كافة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مجريات الدعوى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ترتكز على محاولات </w:t>
      </w:r>
      <w:r w:rsidRPr="008E3493">
        <w:rPr>
          <w:rFonts w:ascii="Sakkal Majalla" w:hAnsi="Sakkal Majalla" w:cs="Sakkal Majalla" w:hint="cs"/>
          <w:b/>
          <w:bCs/>
          <w:sz w:val="34"/>
          <w:szCs w:val="34"/>
          <w:rtl/>
        </w:rPr>
        <w:t>موكلي</w:t>
      </w:r>
      <w:r w:rsidR="00A87E03" w:rsidRPr="008E3493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تهدئة الأوضاع وإنهاء الخلاف 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منذ الوهلة الأولى وثبت ذلك من خلال حديث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موكلي للمتهم ا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لأول "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تكفي تكفي علشان امك</w:t>
      </w:r>
      <w:r w:rsidR="00C7503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"</w:t>
      </w:r>
      <w:r w:rsidR="00C7503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ورد المدعى عليه الأول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بصوت عالِ" وخر عني"</w:t>
      </w:r>
      <w:r w:rsidR="00AC1317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(مرفق)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.</w:t>
      </w:r>
    </w:p>
    <w:p w14:paraId="02123CC0" w14:textId="3022F210" w:rsidR="00DC7AD9" w:rsidRPr="00876FAF" w:rsidRDefault="00371B0C" w:rsidP="00371B0C">
      <w:pPr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رابعاً 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إنتفاء</w:t>
      </w:r>
      <w:r w:rsidR="00942EE4" w:rsidRPr="00876FA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 xml:space="preserve"> صلة </w:t>
      </w:r>
      <w:r w:rsid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موكلي بالتهم المنسوبة إليه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.</w:t>
      </w:r>
    </w:p>
    <w:p w14:paraId="2310B02B" w14:textId="2EC0BFB4" w:rsidR="007F62AA" w:rsidRDefault="00AC1317" w:rsidP="008E3493">
      <w:pPr>
        <w:pStyle w:val="ListParagraph"/>
        <w:spacing w:line="240" w:lineRule="auto"/>
        <w:ind w:left="0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>نظراً لعدم وجود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فعل </w:t>
      </w:r>
      <w:r w:rsidR="00F86A14">
        <w:rPr>
          <w:rFonts w:ascii="Sakkal Majalla" w:hAnsi="Sakkal Majalla" w:cs="Sakkal Majalla" w:hint="cs"/>
          <w:sz w:val="30"/>
          <w:szCs w:val="30"/>
          <w:rtl/>
        </w:rPr>
        <w:t>إجرامي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مرتكب من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ضمن لائحة الاتهام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و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أ</w:t>
      </w:r>
      <w:r w:rsidR="00F86A14">
        <w:rPr>
          <w:rFonts w:ascii="Sakkal Majalla" w:hAnsi="Sakkal Majalla" w:cs="Sakkal Majalla"/>
          <w:sz w:val="30"/>
          <w:szCs w:val="30"/>
          <w:rtl/>
        </w:rPr>
        <w:t>نما قام المدعى العام بعطف الفعل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المنسوب للمدعى عليه الأول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على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 وهذا خلل جسيم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>و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>لا يعد دليلاً صالحاً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لتقديم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موكلي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للمحاكمة</w:t>
      </w:r>
      <w:r w:rsidR="00DC7AD9" w:rsidRPr="00EF10CD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>فلم يرتكب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 xml:space="preserve"> موكلي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 xml:space="preserve"> أي جرم 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>بموجب محاضر التحقيق ولائحة الاتهام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132A9">
        <w:rPr>
          <w:rFonts w:ascii="Sakkal Majalla" w:hAnsi="Sakkal Majalla" w:cs="Sakkal Majalla"/>
          <w:sz w:val="30"/>
          <w:szCs w:val="30"/>
          <w:rtl/>
        </w:rPr>
        <w:t>–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مما يؤكد إنتفاء صلته بالجريمة والتهم المنسوبة إليه، وتأسيساً على نص 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>المادة الثالثة من نظام الاجراءات الجزائية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والتي تضمنت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(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>أنه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لا يجوز إيقاع عقوبة ع</w:t>
      </w:r>
      <w:r w:rsidR="006132A9">
        <w:rPr>
          <w:rFonts w:ascii="Sakkal Majalla" w:hAnsi="Sakkal Majalla" w:cs="Sakkal Majalla"/>
          <w:sz w:val="30"/>
          <w:szCs w:val="30"/>
          <w:rtl/>
        </w:rPr>
        <w:t>لى المتهم إلا بعد ثبوت الإدانه)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2332D4" w:rsidRP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>ولما روي عن النبي صلى الله عليه وسلم قوله إدرؤا الحدود عن المسلمين ما أست</w:t>
      </w:r>
      <w:r w:rsid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>طعتم فإن كان له مخرج فخلو سبيله</w:t>
      </w:r>
      <w:r w:rsidR="002332D4" w:rsidRP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فإن الإمام أن يخطيء في العفو خيراً من أن يخطيء في</w:t>
      </w:r>
      <w:r w:rsid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العقوبة"، </w:t>
      </w:r>
      <w:r w:rsidR="00853339" w:rsidRPr="00AC1317">
        <w:rPr>
          <w:rFonts w:ascii="Sakkal Majalla" w:hAnsi="Sakkal Majalla" w:cs="Sakkal Majalla"/>
          <w:b/>
          <w:bCs/>
          <w:sz w:val="30"/>
          <w:szCs w:val="30"/>
          <w:rtl/>
        </w:rPr>
        <w:t>والله تعالى يقول "يا أيها الذين أمنوا اجتنبوا كثيراً من الظن إن بعض الظن إثم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rtl/>
        </w:rPr>
        <w:t>".</w:t>
      </w:r>
    </w:p>
    <w:p w14:paraId="3387175C" w14:textId="77777777" w:rsidR="007F62AA" w:rsidRPr="007F62AA" w:rsidRDefault="007F62AA" w:rsidP="007F62AA">
      <w:pPr>
        <w:pStyle w:val="ListParagraph"/>
        <w:spacing w:line="276" w:lineRule="auto"/>
        <w:ind w:left="0"/>
        <w:jc w:val="both"/>
        <w:rPr>
          <w:rFonts w:ascii="Sakkal Majalla" w:hAnsi="Sakkal Majalla" w:cs="Sakkal Majalla"/>
          <w:b/>
          <w:bCs/>
          <w:sz w:val="8"/>
          <w:szCs w:val="8"/>
          <w:rtl/>
        </w:rPr>
      </w:pPr>
    </w:p>
    <w:p w14:paraId="7B9F7203" w14:textId="3795A64B" w:rsidR="00AC1317" w:rsidRPr="007F62AA" w:rsidRDefault="002332D4" w:rsidP="00B97ED9">
      <w:pPr>
        <w:pStyle w:val="ListParagraph"/>
        <w:numPr>
          <w:ilvl w:val="0"/>
          <w:numId w:val="10"/>
        </w:numPr>
        <w:spacing w:before="240" w:line="240" w:lineRule="auto"/>
        <w:ind w:left="284" w:hanging="284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وعملاً بكل </w:t>
      </w:r>
      <w:bookmarkStart w:id="0" w:name="_GoBack"/>
      <w:r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ذلك ولعدم وجود أي أدلة إدانة ضد موكلي ولكون الاحكام القضائية تبنى على الجزم واليقين </w:t>
      </w:r>
      <w:r w:rsidR="007F62AA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لا على الشك والتخمين </w:t>
      </w:r>
      <w:r w:rsidR="007F62AA" w:rsidRPr="007F62AA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7F62AA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فإننا </w:t>
      </w:r>
      <w:bookmarkEnd w:id="0"/>
      <w:r w:rsidR="006132A9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نطالب بإخلاء سبيل موكلي من الاتهام المسند إليه دون بينة أو دليل </w:t>
      </w:r>
      <w:r w:rsidR="000F1629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يؤكد إرتكابه للفعل المنسوب إليه.</w:t>
      </w:r>
    </w:p>
    <w:p w14:paraId="20096FAE" w14:textId="5152D067" w:rsidR="000F1629" w:rsidRDefault="000F1629" w:rsidP="00F814EF">
      <w:pPr>
        <w:spacing w:before="240" w:after="0" w:line="276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وعليه ولما تقدم فإننا نلتمس من فضيلتكم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سلمكم الله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إخلاء سبيل موكلي من الإتهام المسند إليه تأسيساً على ما تقدم وما ترونه فضيلتكم على الوجه الشرعي والنظامي لذلك.</w:t>
      </w:r>
    </w:p>
    <w:p w14:paraId="7111D00A" w14:textId="219AFC1D" w:rsidR="000F1629" w:rsidRPr="00EF10CD" w:rsidRDefault="000F1629" w:rsidP="002332D4">
      <w:pPr>
        <w:spacing w:before="240" w:after="0" w:line="240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سدد الله على طريق الحق والعدل خطاكم ،،،،، والله ولي التوفيق ،،،،،</w:t>
      </w:r>
    </w:p>
    <w:p w14:paraId="6A2E44C0" w14:textId="7AF2CEC8" w:rsidR="006B6593" w:rsidRPr="000F1629" w:rsidRDefault="009227F1" w:rsidP="002332D4">
      <w:pPr>
        <w:spacing w:line="276" w:lineRule="auto"/>
        <w:ind w:right="142"/>
        <w:jc w:val="right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المحامية</w:t>
      </w:r>
    </w:p>
    <w:p w14:paraId="18FFACBC" w14:textId="59F8630E" w:rsidR="006B6593" w:rsidRPr="000F1629" w:rsidRDefault="006B6593" w:rsidP="006B6593">
      <w:pPr>
        <w:jc w:val="right"/>
        <w:rPr>
          <w:rFonts w:ascii="Sakkal Majalla" w:eastAsia="Times New Roman" w:hAnsi="Sakkal Majalla" w:cs="Sakkal Majalla"/>
          <w:b/>
          <w:bCs/>
          <w:sz w:val="30"/>
          <w:szCs w:val="30"/>
        </w:rPr>
      </w:pPr>
      <w:r w:rsidRPr="000F1629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خلدا حمدان </w:t>
      </w:r>
    </w:p>
    <w:sectPr w:rsidR="006B6593" w:rsidRPr="000F1629" w:rsidSect="008E3493">
      <w:footerReference w:type="default" r:id="rId8"/>
      <w:pgSz w:w="11906" w:h="16838"/>
      <w:pgMar w:top="1276" w:right="849" w:bottom="1418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E758C6" w14:textId="77777777" w:rsidR="006225E8" w:rsidRDefault="006225E8" w:rsidP="00E60CA2">
      <w:pPr>
        <w:spacing w:after="0" w:line="240" w:lineRule="auto"/>
      </w:pPr>
      <w:r>
        <w:separator/>
      </w:r>
    </w:p>
  </w:endnote>
  <w:endnote w:type="continuationSeparator" w:id="0">
    <w:p w14:paraId="223628E8" w14:textId="77777777" w:rsidR="006225E8" w:rsidRDefault="006225E8" w:rsidP="00E60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941214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1E885" w14:textId="07C0E58D" w:rsidR="00A50C46" w:rsidRDefault="00A50C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7ED9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3951D12B" w14:textId="77777777" w:rsidR="00A50C46" w:rsidRDefault="00A50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9B459" w14:textId="77777777" w:rsidR="006225E8" w:rsidRDefault="006225E8" w:rsidP="00E60CA2">
      <w:pPr>
        <w:spacing w:after="0" w:line="240" w:lineRule="auto"/>
      </w:pPr>
      <w:r>
        <w:separator/>
      </w:r>
    </w:p>
  </w:footnote>
  <w:footnote w:type="continuationSeparator" w:id="0">
    <w:p w14:paraId="416F085B" w14:textId="77777777" w:rsidR="006225E8" w:rsidRDefault="006225E8" w:rsidP="00E60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2867"/>
    <w:multiLevelType w:val="hybridMultilevel"/>
    <w:tmpl w:val="1DD241C4"/>
    <w:lvl w:ilvl="0" w:tplc="686C7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0BC"/>
    <w:multiLevelType w:val="hybridMultilevel"/>
    <w:tmpl w:val="A91E6738"/>
    <w:lvl w:ilvl="0" w:tplc="25A8EB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112A3"/>
    <w:multiLevelType w:val="hybridMultilevel"/>
    <w:tmpl w:val="9F18EA50"/>
    <w:lvl w:ilvl="0" w:tplc="81C87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D6D71"/>
    <w:multiLevelType w:val="hybridMultilevel"/>
    <w:tmpl w:val="8940E32A"/>
    <w:lvl w:ilvl="0" w:tplc="5088D9D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0F1419"/>
        <w:sz w:val="3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00AA5"/>
    <w:multiLevelType w:val="hybridMultilevel"/>
    <w:tmpl w:val="479E0DF4"/>
    <w:lvl w:ilvl="0" w:tplc="8AF2CCD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68DF"/>
    <w:multiLevelType w:val="hybridMultilevel"/>
    <w:tmpl w:val="C2A24D9C"/>
    <w:lvl w:ilvl="0" w:tplc="C680D3A4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color w:val="33333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75DAF"/>
    <w:multiLevelType w:val="hybridMultilevel"/>
    <w:tmpl w:val="0380C74A"/>
    <w:lvl w:ilvl="0" w:tplc="BB844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C0668"/>
    <w:multiLevelType w:val="hybridMultilevel"/>
    <w:tmpl w:val="08D2C5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25107"/>
    <w:multiLevelType w:val="hybridMultilevel"/>
    <w:tmpl w:val="90C208C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16B20"/>
    <w:multiLevelType w:val="hybridMultilevel"/>
    <w:tmpl w:val="14A4416C"/>
    <w:lvl w:ilvl="0" w:tplc="0D1665E2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D35FF"/>
    <w:multiLevelType w:val="hybridMultilevel"/>
    <w:tmpl w:val="A2FAE404"/>
    <w:lvl w:ilvl="0" w:tplc="E56C16DE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755A7"/>
    <w:multiLevelType w:val="hybridMultilevel"/>
    <w:tmpl w:val="2AAA0344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CA2"/>
    <w:rsid w:val="00004A8D"/>
    <w:rsid w:val="00012DD9"/>
    <w:rsid w:val="000430F6"/>
    <w:rsid w:val="00057AF8"/>
    <w:rsid w:val="00095597"/>
    <w:rsid w:val="000B2E99"/>
    <w:rsid w:val="000C1DCC"/>
    <w:rsid w:val="000F1629"/>
    <w:rsid w:val="00116B67"/>
    <w:rsid w:val="00125192"/>
    <w:rsid w:val="0013772C"/>
    <w:rsid w:val="001770A6"/>
    <w:rsid w:val="001832CF"/>
    <w:rsid w:val="00196346"/>
    <w:rsid w:val="001C7820"/>
    <w:rsid w:val="001F05AE"/>
    <w:rsid w:val="002006EF"/>
    <w:rsid w:val="00213008"/>
    <w:rsid w:val="002332D4"/>
    <w:rsid w:val="00255DE6"/>
    <w:rsid w:val="0025673E"/>
    <w:rsid w:val="00283C19"/>
    <w:rsid w:val="002F0BDD"/>
    <w:rsid w:val="002F7A0C"/>
    <w:rsid w:val="003125A9"/>
    <w:rsid w:val="00314F07"/>
    <w:rsid w:val="00330CE2"/>
    <w:rsid w:val="00371B0C"/>
    <w:rsid w:val="00372918"/>
    <w:rsid w:val="003A25AD"/>
    <w:rsid w:val="003B0364"/>
    <w:rsid w:val="0040585B"/>
    <w:rsid w:val="00452CFB"/>
    <w:rsid w:val="004556CA"/>
    <w:rsid w:val="00477594"/>
    <w:rsid w:val="0048104B"/>
    <w:rsid w:val="004814E9"/>
    <w:rsid w:val="00485A0D"/>
    <w:rsid w:val="00490C4E"/>
    <w:rsid w:val="004F3B47"/>
    <w:rsid w:val="00500E7C"/>
    <w:rsid w:val="00532B85"/>
    <w:rsid w:val="00540E55"/>
    <w:rsid w:val="00546424"/>
    <w:rsid w:val="00560869"/>
    <w:rsid w:val="00592E95"/>
    <w:rsid w:val="005A4A9F"/>
    <w:rsid w:val="005B4B7A"/>
    <w:rsid w:val="005B5F3C"/>
    <w:rsid w:val="005C106E"/>
    <w:rsid w:val="005D3318"/>
    <w:rsid w:val="00605E7A"/>
    <w:rsid w:val="006132A9"/>
    <w:rsid w:val="006225E8"/>
    <w:rsid w:val="00662DB1"/>
    <w:rsid w:val="00673BCA"/>
    <w:rsid w:val="006A2FF8"/>
    <w:rsid w:val="006B2E0E"/>
    <w:rsid w:val="006B6593"/>
    <w:rsid w:val="006C7427"/>
    <w:rsid w:val="006D7CA8"/>
    <w:rsid w:val="00733C27"/>
    <w:rsid w:val="00754AF4"/>
    <w:rsid w:val="0078389C"/>
    <w:rsid w:val="00784783"/>
    <w:rsid w:val="007F62AA"/>
    <w:rsid w:val="00805CD3"/>
    <w:rsid w:val="00821435"/>
    <w:rsid w:val="00834C8E"/>
    <w:rsid w:val="00852D4E"/>
    <w:rsid w:val="00853339"/>
    <w:rsid w:val="00876FAF"/>
    <w:rsid w:val="008B06F2"/>
    <w:rsid w:val="008C0831"/>
    <w:rsid w:val="008C2B4A"/>
    <w:rsid w:val="008E3493"/>
    <w:rsid w:val="008F7658"/>
    <w:rsid w:val="008F786A"/>
    <w:rsid w:val="00906147"/>
    <w:rsid w:val="009227F1"/>
    <w:rsid w:val="00942EE4"/>
    <w:rsid w:val="009935B4"/>
    <w:rsid w:val="009B09A1"/>
    <w:rsid w:val="009B1DA0"/>
    <w:rsid w:val="00A50C46"/>
    <w:rsid w:val="00A566BD"/>
    <w:rsid w:val="00A67F14"/>
    <w:rsid w:val="00A80625"/>
    <w:rsid w:val="00A809C4"/>
    <w:rsid w:val="00A81F0C"/>
    <w:rsid w:val="00A87E03"/>
    <w:rsid w:val="00AA1BD2"/>
    <w:rsid w:val="00AB4297"/>
    <w:rsid w:val="00AC1317"/>
    <w:rsid w:val="00AC7A77"/>
    <w:rsid w:val="00B05D99"/>
    <w:rsid w:val="00B2533B"/>
    <w:rsid w:val="00B31984"/>
    <w:rsid w:val="00B53F71"/>
    <w:rsid w:val="00B80971"/>
    <w:rsid w:val="00B847C4"/>
    <w:rsid w:val="00B906B3"/>
    <w:rsid w:val="00B97ED9"/>
    <w:rsid w:val="00BA15E6"/>
    <w:rsid w:val="00BA2C6C"/>
    <w:rsid w:val="00BC5C2B"/>
    <w:rsid w:val="00BE21FC"/>
    <w:rsid w:val="00C06208"/>
    <w:rsid w:val="00C42618"/>
    <w:rsid w:val="00C44A22"/>
    <w:rsid w:val="00C639FE"/>
    <w:rsid w:val="00C75039"/>
    <w:rsid w:val="00CB0026"/>
    <w:rsid w:val="00CC62C5"/>
    <w:rsid w:val="00CD6D7F"/>
    <w:rsid w:val="00CE7D7A"/>
    <w:rsid w:val="00D225E4"/>
    <w:rsid w:val="00D717D7"/>
    <w:rsid w:val="00D76948"/>
    <w:rsid w:val="00D839F2"/>
    <w:rsid w:val="00DC6494"/>
    <w:rsid w:val="00DC7AD9"/>
    <w:rsid w:val="00E14352"/>
    <w:rsid w:val="00E16D89"/>
    <w:rsid w:val="00E4440B"/>
    <w:rsid w:val="00E463F5"/>
    <w:rsid w:val="00E60920"/>
    <w:rsid w:val="00E60CA2"/>
    <w:rsid w:val="00E747B8"/>
    <w:rsid w:val="00E80866"/>
    <w:rsid w:val="00E9357C"/>
    <w:rsid w:val="00EF10CD"/>
    <w:rsid w:val="00EF3BBA"/>
    <w:rsid w:val="00F02216"/>
    <w:rsid w:val="00F3359C"/>
    <w:rsid w:val="00F612D9"/>
    <w:rsid w:val="00F63B15"/>
    <w:rsid w:val="00F74572"/>
    <w:rsid w:val="00F814EF"/>
    <w:rsid w:val="00F86A14"/>
    <w:rsid w:val="00FD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AC44"/>
  <w15:chartTrackingRefBased/>
  <w15:docId w15:val="{BF066031-940D-4145-ACDB-F7DE8521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CA2"/>
  </w:style>
  <w:style w:type="paragraph" w:styleId="Footer">
    <w:name w:val="footer"/>
    <w:basedOn w:val="Normal"/>
    <w:link w:val="Foot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CA2"/>
  </w:style>
  <w:style w:type="paragraph" w:styleId="NormalWeb">
    <w:name w:val="Normal (Web)"/>
    <w:basedOn w:val="Normal"/>
    <w:uiPriority w:val="99"/>
    <w:unhideWhenUsed/>
    <w:rsid w:val="00A806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5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9A6E3-8640-45F5-8CEF-94B007AA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754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المحامي</dc:creator>
  <cp:keywords/>
  <dc:description/>
  <cp:lastModifiedBy>hp</cp:lastModifiedBy>
  <cp:revision>4</cp:revision>
  <dcterms:created xsi:type="dcterms:W3CDTF">2024-05-10T23:12:00Z</dcterms:created>
  <dcterms:modified xsi:type="dcterms:W3CDTF">2024-05-11T08:15:00Z</dcterms:modified>
</cp:coreProperties>
</file>