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C81218" w:rsidRDefault="003D2F8F" w:rsidP="0099009C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الأسس العلمية في إعداد الموازنات التقديرية</w:t>
      </w:r>
      <w:r w:rsidR="000D2B9A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للإدارة العليا</w:t>
      </w:r>
    </w:p>
    <w:p w:rsidR="0099009C" w:rsidRDefault="0099009C" w:rsidP="0099009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6A0B45" w:rsidRDefault="003D2F8F" w:rsidP="00DC79C6">
      <w:pPr>
        <w:pStyle w:val="ListParagraph"/>
        <w:numPr>
          <w:ilvl w:val="0"/>
          <w:numId w:val="4"/>
        </w:numPr>
        <w:ind w:left="-625" w:right="-1134" w:firstLine="284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الأتجاهات الحديثة عن مفهوم الموازنات ال</w:t>
      </w:r>
      <w:r w:rsidR="00DC79C6">
        <w:rPr>
          <w:rFonts w:hint="cs"/>
          <w:sz w:val="32"/>
          <w:szCs w:val="32"/>
          <w:rtl/>
          <w:lang w:bidi="ar-EG"/>
        </w:rPr>
        <w:t xml:space="preserve">تخطيطية ، والموازنات التقديرية  "أهميتها </w:t>
      </w:r>
      <w:r>
        <w:rPr>
          <w:rFonts w:hint="cs"/>
          <w:sz w:val="32"/>
          <w:szCs w:val="32"/>
          <w:rtl/>
          <w:lang w:bidi="ar-EG"/>
        </w:rPr>
        <w:t>وأهدافها"</w:t>
      </w:r>
    </w:p>
    <w:p w:rsidR="003D2F8F" w:rsidRDefault="003D2F8F" w:rsidP="00DC79C6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 w:rsidRPr="003D2F8F">
        <w:rPr>
          <w:rFonts w:hint="cs"/>
          <w:sz w:val="32"/>
          <w:szCs w:val="32"/>
          <w:rtl/>
          <w:lang w:bidi="ar-EG"/>
        </w:rPr>
        <w:t>كيفية إعداد الموازنات التقديرية وخطواتهاومتابعة تنفيذها</w:t>
      </w:r>
    </w:p>
    <w:p w:rsidR="003D2F8F" w:rsidRPr="003D2F8F" w:rsidRDefault="003D2F8F" w:rsidP="00DC79C6">
      <w:pPr>
        <w:pStyle w:val="ListParagraph"/>
        <w:numPr>
          <w:ilvl w:val="0"/>
          <w:numId w:val="4"/>
        </w:numPr>
        <w:ind w:left="-625" w:firstLine="284"/>
        <w:rPr>
          <w:sz w:val="32"/>
          <w:szCs w:val="32"/>
          <w:lang w:bidi="ar-EG"/>
        </w:rPr>
      </w:pPr>
      <w:r w:rsidRPr="003D2F8F">
        <w:rPr>
          <w:rFonts w:hint="cs"/>
          <w:sz w:val="32"/>
          <w:szCs w:val="32"/>
          <w:rtl/>
          <w:lang w:bidi="ar-EG"/>
        </w:rPr>
        <w:t xml:space="preserve">تعميق الوعي بالطاقات الهائلة للموازنات التقديرية كأداة تخطيط ورقابة </w:t>
      </w:r>
    </w:p>
    <w:p w:rsidR="00C81218" w:rsidRPr="00B85490" w:rsidRDefault="00C81218" w:rsidP="00B85490">
      <w:pPr>
        <w:spacing w:after="0" w:line="240" w:lineRule="auto"/>
        <w:rPr>
          <w:sz w:val="32"/>
          <w:szCs w:val="32"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C81218" w:rsidRDefault="00DC79C6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طريقة إعداد الموازنة الكمية من واقع العمليات (الموازنة العينية)</w:t>
      </w:r>
    </w:p>
    <w:p w:rsidR="00DC79C6" w:rsidRPr="00DC79C6" w:rsidRDefault="00DC79C6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مداخل إعداد الموازنات التقديرية : </w:t>
      </w:r>
    </w:p>
    <w:p w:rsidR="00DC79C6" w:rsidRDefault="00DC79C6" w:rsidP="004B4CC9">
      <w:pPr>
        <w:pStyle w:val="ListParagraph"/>
        <w:numPr>
          <w:ilvl w:val="0"/>
          <w:numId w:val="7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تخطيط الربحية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السوق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العنصر الحاكم</w:t>
      </w:r>
    </w:p>
    <w:p w:rsidR="00DC79C6" w:rsidRDefault="00DC79C6" w:rsidP="004B4CC9">
      <w:pPr>
        <w:pStyle w:val="ListParagraph"/>
        <w:numPr>
          <w:ilvl w:val="0"/>
          <w:numId w:val="7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موازنة البرامج والأداء </w:t>
      </w:r>
    </w:p>
    <w:p w:rsidR="00DC79C6" w:rsidRDefault="00DC79C6" w:rsidP="004B4CC9">
      <w:pPr>
        <w:pStyle w:val="ListParagraph"/>
        <w:numPr>
          <w:ilvl w:val="0"/>
          <w:numId w:val="7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إعداد الموازنة من خلال المؤشرات المالية </w:t>
      </w:r>
    </w:p>
    <w:p w:rsidR="004B4CC9" w:rsidRDefault="00DC79C6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DC79C6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4B4CC9">
        <w:rPr>
          <w:rFonts w:hint="cs"/>
          <w:color w:val="000000" w:themeColor="text1"/>
          <w:sz w:val="32"/>
          <w:szCs w:val="32"/>
          <w:rtl/>
          <w:lang w:bidi="ar-EG"/>
        </w:rPr>
        <w:t>أسس القوائم المالية للموازنات التقديرية</w:t>
      </w:r>
    </w:p>
    <w:p w:rsidR="004B4CC9" w:rsidRDefault="004B4CC9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الموازنة التقديرية  - قائمة الدخل التقديرية </w:t>
      </w:r>
    </w:p>
    <w:p w:rsidR="004B4CC9" w:rsidRDefault="004B4CC9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قائمة المركز المالي التقديرية </w:t>
      </w:r>
    </w:p>
    <w:p w:rsidR="004B4CC9" w:rsidRDefault="004B4CC9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الرقابة بأستخدام الموازنات التقديرية كأداة تخطيط ورقابة</w:t>
      </w:r>
    </w:p>
    <w:p w:rsidR="004B4CC9" w:rsidRDefault="004B4CC9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قياس الأنحرفات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تقارير الأداء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الإجراءات التصحيحية </w:t>
      </w:r>
    </w:p>
    <w:p w:rsidR="00DC79C6" w:rsidRDefault="004B4CC9" w:rsidP="004B4CC9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تقييم المشروعات الأستثمارية</w:t>
      </w:r>
      <w:r w:rsidR="00DC79C6" w:rsidRPr="00DC79C6">
        <w:rPr>
          <w:rFonts w:hint="cs"/>
          <w:color w:val="000000" w:themeColor="text1"/>
          <w:sz w:val="32"/>
          <w:szCs w:val="32"/>
          <w:rtl/>
          <w:lang w:bidi="ar-EG"/>
        </w:rPr>
        <w:t xml:space="preserve">    </w:t>
      </w:r>
    </w:p>
    <w:p w:rsidR="004B4CC9" w:rsidRPr="00DC79C6" w:rsidRDefault="004B4CC9" w:rsidP="004B4CC9">
      <w:pPr>
        <w:pStyle w:val="ListParagraph"/>
        <w:spacing w:after="0"/>
        <w:ind w:left="-58"/>
        <w:rPr>
          <w:color w:val="000000" w:themeColor="text1"/>
          <w:sz w:val="32"/>
          <w:szCs w:val="32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  <w:bookmarkStart w:id="0" w:name="_GoBack"/>
      <w:bookmarkEnd w:id="0"/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28" w:rsidRDefault="00594D28" w:rsidP="00B66B6A">
      <w:pPr>
        <w:spacing w:after="0" w:line="240" w:lineRule="auto"/>
      </w:pPr>
      <w:r>
        <w:separator/>
      </w:r>
    </w:p>
  </w:endnote>
  <w:endnote w:type="continuationSeparator" w:id="0">
    <w:p w:rsidR="00594D28" w:rsidRDefault="00594D28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28" w:rsidRDefault="00594D28" w:rsidP="00B66B6A">
      <w:pPr>
        <w:spacing w:after="0" w:line="240" w:lineRule="auto"/>
      </w:pPr>
      <w:r>
        <w:separator/>
      </w:r>
    </w:p>
  </w:footnote>
  <w:footnote w:type="continuationSeparator" w:id="0">
    <w:p w:rsidR="00594D28" w:rsidRDefault="00594D28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C4825FE"/>
    <w:multiLevelType w:val="hybridMultilevel"/>
    <w:tmpl w:val="47D0488A"/>
    <w:lvl w:ilvl="0" w:tplc="6388D54A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D2B9A"/>
    <w:rsid w:val="0014342E"/>
    <w:rsid w:val="001C57DA"/>
    <w:rsid w:val="002F2841"/>
    <w:rsid w:val="003D2F8F"/>
    <w:rsid w:val="004B4CC9"/>
    <w:rsid w:val="00504890"/>
    <w:rsid w:val="00566E24"/>
    <w:rsid w:val="00594D28"/>
    <w:rsid w:val="005F2ABA"/>
    <w:rsid w:val="006A0B45"/>
    <w:rsid w:val="006B49D7"/>
    <w:rsid w:val="00720BBE"/>
    <w:rsid w:val="007511B6"/>
    <w:rsid w:val="0099009C"/>
    <w:rsid w:val="00B06CE6"/>
    <w:rsid w:val="00B47FBA"/>
    <w:rsid w:val="00B66B6A"/>
    <w:rsid w:val="00B81C29"/>
    <w:rsid w:val="00B85490"/>
    <w:rsid w:val="00C81218"/>
    <w:rsid w:val="00DC79C6"/>
    <w:rsid w:val="00DE09F8"/>
    <w:rsid w:val="00E33571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15</cp:revision>
  <dcterms:created xsi:type="dcterms:W3CDTF">2021-06-23T11:45:00Z</dcterms:created>
  <dcterms:modified xsi:type="dcterms:W3CDTF">2021-12-28T12:09:00Z</dcterms:modified>
</cp:coreProperties>
</file>