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Calibri" w:hAnsi="Calibri"/>
          <w:b/>
          <w:color w:val="0A1F44"/>
          <w:sz w:val="52"/>
        </w:rPr>
        <w:t>Samsung LED Video Board System</w:t>
      </w:r>
    </w:p>
    <w:p>
      <w:pPr>
        <w:jc w:val="center"/>
      </w:pPr>
      <w:r>
        <w:rPr>
          <w:rFonts w:ascii="Calibri" w:hAnsi="Calibri"/>
          <w:b/>
          <w:color w:val="E31837"/>
          <w:sz w:val="26"/>
        </w:rPr>
        <w:t>Condition, Reliability, Parts Availability, As-Built Drawing Review, and Replacement Assessment</w:t>
      </w:r>
    </w:p>
    <w:p/>
    <w:p>
      <w:pPr>
        <w:jc w:val="center"/>
      </w:pPr>
      <w:r>
        <w:rPr>
          <w:b/>
        </w:rPr>
        <w:t>M&amp;T Bank Stadium • Baltimore, Maryland</w:t>
      </w:r>
    </w:p>
    <w:p>
      <w:pPr>
        <w:jc w:val="center"/>
      </w:pPr>
      <w:r>
        <w:rPr>
          <w:i/>
        </w:rPr>
        <w:t>Assessment updated August 2026</w:t>
      </w:r>
    </w:p>
    <w:p>
      <w:pPr>
        <w:pStyle w:val="Heading1"/>
      </w:pPr>
      <w:r>
        <w:t>Executive Summary</w:t>
      </w:r>
    </w:p>
    <w:p>
      <w:pPr>
        <w:spacing w:after="120"/>
      </w:pPr>
      <w:r>
        <w:t>The Samsung LED video board systems installed throughout M&amp;T Bank Stadium were originally installed in 2018 and have now been in service for approximately eight years. The system has reached a point where age, declining visual performance, recurring hardware failures, increasing corrective-maintenance activity, and the lack of commercially available replacement components create a significant and increasing operational risk.</w:t>
      </w:r>
    </w:p>
    <w:p>
      <w:pPr>
        <w:spacing w:after="120"/>
      </w:pPr>
      <w:r>
        <w:t>Samsung's published guidance identifies approximately seven to ten years as an average display lifespan and identifies brightness degradation, component failures, and parts becoming obsolete as indicators that an LED display should be evaluated for replacement. Samsung also distinguishes the rated lifetime of an LED diode from the useful service life of the complete display system. A nominal 100,000-hour LED lifetime does not mean that power supplies, interfaces, fans, circuit boards, data connections, and other supporting equipment will remain serviceable for the same period.</w:t>
      </w:r>
    </w:p>
    <w:p>
      <w:pPr>
        <w:spacing w:after="120"/>
      </w:pPr>
      <w:r>
        <w:t>The current condition is supported by field experience. During a single event day, technicians were required to perform multiple corrective actions involving power cycling, media converters, SATA/data cabling, LED cards, and other components across the Southeast Club Level, Vomitory boards, North Fascia, and both End Zones. The displays are also exhibiting noticeable loss of brightness and visual impact.</w:t>
      </w:r>
    </w:p>
    <w:p>
      <w:pPr>
        <w:spacing w:after="120"/>
      </w:pPr>
      <w:r>
        <w:t>The spare-parts situation materially increases this risk. Replacement parts for the installed Samsung systems are no longer available through external sources, leaving the remaining onsite inventory as the only known source of replacement components. Each repair therefore consumes a finite resource that cannot be replenished through the normal supply chain.</w:t>
      </w:r>
    </w:p>
    <w:p>
      <w:pPr>
        <w:spacing w:after="120"/>
      </w:pPr>
      <w:r>
        <w:t>The as-built drawings further demonstrate that this is not a small collection of interchangeable commodity displays. The original system was engineered as a collection of custom Prismview/Samsung LED assemblies, including large-format 10mm End Zone displays, 16mm upper and lower fascia systems, custom cabinet layouts, distributed power and ventilation, and proprietary Samsung/Prismview display electronics. This system architecture increases the importance of maintaining compatible processing and control equipment as well as physical LED modules.</w:t>
      </w:r>
    </w:p>
    <w:p>
      <w:pPr>
        <w:spacing w:after="120"/>
      </w:pPr>
      <w:r>
        <w:t>Based on the combined evidence, continued operation should be treated as a short-term maintenance strategy while a planned replacement program is developed and implemented. The remaining spare inventory should be treated as a temporary bridge—not as evidence that the existing system has a sustainable long-term support path.</w:t>
      </w:r>
    </w:p>
    <w:p>
      <w:pPr>
        <w:pStyle w:val="Heading1"/>
        <w:spacing w:before="280" w:after="120"/>
      </w:pPr>
      <w:r>
        <w:rPr>
          <w:rFonts w:ascii="Calibri" w:hAnsi="Calibri"/>
          <w:b/>
          <w:color w:val="0A1F44"/>
          <w:sz w:val="28"/>
        </w:rPr>
        <w:t>1. Equipment Age and Expected Service Life</w:t>
      </w:r>
    </w:p>
    <w:p>
      <w:pPr>
        <w:spacing w:after="120"/>
      </w:pPr>
      <w:r>
        <w:t>The Samsung LED video boards were installed in 2018. As of 2026, the equipment has been in service for approximately eight years.</w:t>
      </w:r>
    </w:p>
    <w:p>
      <w:pPr>
        <w:spacing w:after="120"/>
      </w:pPr>
      <w:r>
        <w:t>Samsung's guidance states that the average display lifespan is approximately seven to ten years, while recognizing that individual displays can operate longer depending on operating conditions, maintenance, environment, power, and usage. Accordingly, the recommendation to replace this system is not based on age alone. Age establishes the lifecycle context for the other conditions now being observed.</w:t>
      </w:r>
    </w:p>
    <w:p>
      <w:pPr>
        <w:pStyle w:val="ListBullet"/>
        <w:spacing w:after="40"/>
      </w:pPr>
      <w:r>
        <w:t>Reduced brightness and visual performance</w:t>
      </w:r>
    </w:p>
    <w:p>
      <w:pPr>
        <w:pStyle w:val="ListBullet"/>
        <w:spacing w:after="40"/>
      </w:pPr>
      <w:r>
        <w:t>Recurring hardware and connectivity failures</w:t>
      </w:r>
    </w:p>
    <w:p>
      <w:pPr>
        <w:pStyle w:val="ListBullet"/>
        <w:spacing w:after="40"/>
      </w:pPr>
      <w:r>
        <w:t>Increasing hands-on corrective maintenance</w:t>
      </w:r>
    </w:p>
    <w:p>
      <w:pPr>
        <w:pStyle w:val="ListBullet"/>
        <w:spacing w:after="40"/>
      </w:pPr>
      <w:r>
        <w:t>Component and LED-card failures</w:t>
      </w:r>
    </w:p>
    <w:p>
      <w:pPr>
        <w:pStyle w:val="ListBullet"/>
        <w:spacing w:after="40"/>
      </w:pPr>
      <w:r>
        <w:t>Intermittent outages and pixelation</w:t>
      </w:r>
    </w:p>
    <w:p>
      <w:pPr>
        <w:pStyle w:val="ListBullet"/>
        <w:spacing w:after="40"/>
      </w:pPr>
      <w:r>
        <w:t>Dependence on onsite spare parts</w:t>
      </w:r>
    </w:p>
    <w:p>
      <w:pPr>
        <w:pStyle w:val="ListBullet"/>
        <w:spacing w:after="40"/>
      </w:pPr>
      <w:r>
        <w:t>No reliable external source for replacement components</w:t>
      </w:r>
    </w:p>
    <w:p>
      <w:pPr>
        <w:pStyle w:val="ListBullet"/>
        <w:spacing w:after="40"/>
      </w:pPr>
      <w:r>
        <w:t>Dependence on an aging, manufacturer-specific processing and control architecture</w:t>
      </w:r>
    </w:p>
    <w:p>
      <w:pPr>
        <w:pStyle w:val="Heading1"/>
        <w:spacing w:before="280" w:after="120"/>
      </w:pPr>
      <w:r>
        <w:rPr>
          <w:rFonts w:ascii="Calibri" w:hAnsi="Calibri"/>
          <w:b/>
          <w:color w:val="0A1F44"/>
          <w:sz w:val="28"/>
        </w:rPr>
        <w:t>2. LED Lifetime Does Not Equal System Lifetime</w:t>
      </w:r>
    </w:p>
    <w:p>
      <w:pPr>
        <w:spacing w:after="120"/>
      </w:pPr>
      <w:r>
        <w:t>A common misconception in evaluating an older LED system is that a display rated for 100,000 hours should remain fully functional and at its original visual performance for approximately 11 years of continuous operation. Samsung specifically cautions against interpreting LED lifetime this way.</w:t>
      </w:r>
    </w:p>
    <w:p>
      <w:pPr>
        <w:spacing w:after="120"/>
      </w:pPr>
      <w:r>
        <w:t>The 100,000-hour figure is generally associated with LED output degradation rather than complete system failure. In practical terms, an LED can continue to illuminate while its brightness, color consistency, and overall visual performance have deteriorated. Other components—including power supplies, fans, circuit boards, interfaces, media-processing equipment, and data connections—have their own service lives and may fail first.</w:t>
      </w:r>
    </w:p>
    <w:p>
      <w:pPr>
        <w:spacing w:after="120"/>
      </w:pPr>
      <w:r>
        <w:t>Samsung has also published examples of LED displays operating for 15 years or more under suitable conditions. This does not establish a 15-year expected life for the M&amp;T Bank Stadium system; rather, it demonstrates why complete-system condition and supportability must be evaluated instead of relying on diode lifetime alone.</w:t>
      </w:r>
    </w:p>
    <w:p>
      <w:pPr>
        <w:spacing w:after="120"/>
      </w:pPr>
      <w:r>
        <w:t>For the current installation, the decisive issue is the combination of physical age, declining brightness, recurring component failures, and the loss of a replenishable parts supply.</w:t>
      </w:r>
    </w:p>
    <w:p>
      <w:pPr>
        <w:pStyle w:val="Heading1"/>
        <w:spacing w:before="280" w:after="120"/>
      </w:pPr>
      <w:r>
        <w:rPr>
          <w:rFonts w:ascii="Calibri" w:hAnsi="Calibri"/>
          <w:b/>
          <w:color w:val="0A1F44"/>
          <w:sz w:val="28"/>
        </w:rPr>
        <w:t>3. Declining Brightness and Visual Performance</w:t>
      </w:r>
    </w:p>
    <w:p>
      <w:pPr>
        <w:spacing w:after="120"/>
      </w:pPr>
      <w:r>
        <w:t>The existing displays are exhibiting noticeable degradation in brightness. Although portions of the system continue to illuminate and display content, the boards no longer provide the brightness and visual impact expected from a contemporary LED display system.</w:t>
      </w:r>
    </w:p>
    <w:p>
      <w:pPr>
        <w:spacing w:after="120"/>
      </w:pPr>
      <w:r>
        <w:t>This is an operational concern rather than simply a cosmetic issue. In a stadium environment, display brightness directly affects content visibility, image contrast, color reproduction, visual uniformity, spectator engagement, and the effectiveness of advertising and sponsorship content.</w:t>
      </w:r>
    </w:p>
    <w:p>
      <w:pPr>
        <w:pStyle w:val="ListBullet"/>
        <w:spacing w:after="40"/>
      </w:pPr>
      <w:r>
        <w:t>Reduced content visibility, particularly under high ambient-light conditions</w:t>
      </w:r>
    </w:p>
    <w:p>
      <w:pPr>
        <w:pStyle w:val="ListBullet"/>
        <w:spacing w:after="40"/>
      </w:pPr>
      <w:r>
        <w:t>Lower image contrast and perceived dynamic range</w:t>
      </w:r>
    </w:p>
    <w:p>
      <w:pPr>
        <w:pStyle w:val="ListBullet"/>
        <w:spacing w:after="40"/>
      </w:pPr>
      <w:r>
        <w:t>Reduced color impact and consistency</w:t>
      </w:r>
    </w:p>
    <w:p>
      <w:pPr>
        <w:pStyle w:val="ListBullet"/>
        <w:spacing w:after="40"/>
      </w:pPr>
      <w:r>
        <w:t>Non-uniform visual appearance between modules or display sections</w:t>
      </w:r>
    </w:p>
    <w:p>
      <w:pPr>
        <w:pStyle w:val="ListBullet"/>
        <w:spacing w:after="40"/>
      </w:pPr>
      <w:r>
        <w:t>Reduced audience impact and sponsorship/advertising value</w:t>
      </w:r>
    </w:p>
    <w:p>
      <w:pPr>
        <w:spacing w:after="120"/>
      </w:pPr>
      <w:r>
        <w:t>The distinction is important: a display can be technically operational while no longer delivering the performance expected of the original investment. The observed brightness degradation should therefore be considered an additional indicator of aging and declining useful service life.</w:t>
      </w:r>
    </w:p>
    <w:p>
      <w:pPr>
        <w:pStyle w:val="Heading1"/>
        <w:spacing w:before="280" w:after="120"/>
      </w:pPr>
      <w:r>
        <w:rPr>
          <w:rFonts w:ascii="Calibri" w:hAnsi="Calibri"/>
          <w:b/>
          <w:color w:val="0A1F44"/>
          <w:sz w:val="28"/>
        </w:rPr>
        <w:t>4. Recent Maintenance Activity</w:t>
      </w:r>
    </w:p>
    <w:p>
      <w:pPr>
        <w:spacing w:after="120"/>
      </w:pPr>
      <w:r>
        <w:t>The current reliability condition is demonstrated by the amount and nature of corrective maintenance required during a single event day.</w:t>
      </w:r>
    </w:p>
    <w:p>
      <w:pPr>
        <w:pStyle w:val="ListBullet"/>
        <w:spacing w:after="40"/>
      </w:pPr>
      <w:r>
        <w:t>Manually recycle power to a media converter to restore content to the Southeast Club Level 3mm Board.</w:t>
      </w:r>
    </w:p>
    <w:p>
      <w:pPr>
        <w:pStyle w:val="ListBullet"/>
        <w:spacing w:after="40"/>
      </w:pPr>
      <w:r>
        <w:t>Manually recycle power and data to clear glitching content on multiple Vomitory Boards.</w:t>
      </w:r>
    </w:p>
    <w:p>
      <w:pPr>
        <w:pStyle w:val="ListBullet"/>
        <w:spacing w:after="40"/>
      </w:pPr>
      <w:r>
        <w:t>Reseat/replace SATA cables to clear intermittent outages on the Upper and Lower North Fascia Boards.</w:t>
      </w:r>
    </w:p>
    <w:p>
      <w:pPr>
        <w:pStyle w:val="ListBullet"/>
        <w:spacing w:after="40"/>
      </w:pPr>
      <w:r>
        <w:t>Replace SATA cables to clear pixelated rows of cards on the West and East End Zone boards.</w:t>
      </w:r>
    </w:p>
    <w:p>
      <w:pPr>
        <w:pStyle w:val="ListBullet"/>
        <w:spacing w:after="40"/>
      </w:pPr>
      <w:r>
        <w:t>Replace a card on the Vomitory Board at Sections 138/139 to clear an outage.</w:t>
      </w:r>
    </w:p>
    <w:p>
      <w:pPr>
        <w:pStyle w:val="ListBullet"/>
        <w:spacing w:after="40"/>
      </w:pPr>
      <w:r>
        <w:t>Replace SATA cables to clear pixelated rows of cards on the East End Zone after gates opened.</w:t>
      </w:r>
    </w:p>
    <w:p>
      <w:pPr>
        <w:pStyle w:val="ListBullet"/>
        <w:spacing w:after="40"/>
      </w:pPr>
      <w:r>
        <w:t>Reseat/replace SATA cables to clear pixelated cards on both End Zone boards during the event.</w:t>
      </w:r>
    </w:p>
    <w:p>
      <w:pPr>
        <w:spacing w:after="120"/>
      </w:pPr>
      <w:r>
        <w:t>The significance is not simply the number of service actions. The work spans power, data, media conversion, LED cards/modules, interfaces, and physical connections. Several interventions were required during active event operation, creating the potential for visible outages while spectators were present.</w:t>
      </w:r>
    </w:p>
    <w:p>
      <w:pPr>
        <w:spacing w:after="120"/>
      </w:pPr>
      <w:r>
        <w:t>The recurring need to power-cycle equipment, reseat connections, replace cables, and replace individual cards is consistent with a system that is increasingly dependent on corrective maintenance to remain operational.</w:t>
      </w:r>
    </w:p>
    <w:p>
      <w:pPr>
        <w:pStyle w:val="Heading1"/>
        <w:spacing w:before="280" w:after="120"/>
      </w:pPr>
      <w:r>
        <w:rPr>
          <w:rFonts w:ascii="Calibri" w:hAnsi="Calibri"/>
          <w:b/>
          <w:color w:val="0A1F44"/>
          <w:sz w:val="28"/>
        </w:rPr>
        <w:t>5. As-Built Drawing Review</w:t>
      </w:r>
    </w:p>
    <w:p>
      <w:pPr>
        <w:spacing w:after="120"/>
      </w:pPr>
      <w:r>
        <w:t>The attached as-built drawing package, titled '116310-016-0 LED Display Hardware - As-Built,' provides additional evidence regarding the scale, custom nature, and complexity of the installed system. The submittal package was prepared for the M&amp;T Bank Stadium Improvements – Phase 1 Video Board Replacement Package and identifies Prismview, a Samsung Electronics company, as the display manufacturer. The package was transmitted in November 2017 as an as-built record and contains detailed cabinet layouts, component layouts, mounting details, electrical information, and custom structural/ventilation information.</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val="clear" w:color="auto" w:fill="0A1F44"/>
          </w:tcPr>
          <w:p>
            <w:r>
              <w:rPr>
                <w:rFonts w:ascii="Calibri" w:hAnsi="Calibri"/>
                <w:b/>
                <w:color w:val="FFFFFF"/>
                <w:sz w:val="20"/>
              </w:rPr>
              <w:t>System / Drawing Information</w:t>
            </w:r>
          </w:p>
        </w:tc>
        <w:tc>
          <w:tcPr>
            <w:tcW w:type="dxa" w:w="3312"/>
            <w:vAlign w:val="center"/>
            <w:shd w:val="clear" w:color="auto" w:fill="0A1F44"/>
          </w:tcPr>
          <w:p>
            <w:r>
              <w:rPr>
                <w:rFonts w:ascii="Calibri" w:hAnsi="Calibri"/>
                <w:b/>
                <w:color w:val="FFFFFF"/>
                <w:sz w:val="20"/>
              </w:rPr>
              <w:t>As-Built Information</w:t>
            </w:r>
          </w:p>
        </w:tc>
        <w:tc>
          <w:tcPr>
            <w:tcW w:type="dxa" w:w="3312"/>
            <w:vAlign w:val="center"/>
            <w:shd w:val="clear" w:color="auto" w:fill="0A1F44"/>
          </w:tcPr>
          <w:p>
            <w:r>
              <w:rPr>
                <w:rFonts w:ascii="Calibri" w:hAnsi="Calibri"/>
                <w:b/>
                <w:color w:val="FFFFFF"/>
                <w:sz w:val="20"/>
              </w:rPr>
              <w:t>Lifecycle Significance</w:t>
            </w:r>
          </w:p>
        </w:tc>
      </w:tr>
      <w:tr>
        <w:tc>
          <w:tcPr>
            <w:tcW w:type="dxa" w:w="3312"/>
            <w:vAlign w:val="center"/>
          </w:tcPr>
          <w:p>
            <w:r>
              <w:rPr>
                <w:rFonts w:ascii="Calibri" w:hAnsi="Calibri"/>
                <w:color w:val="222222"/>
                <w:sz w:val="19"/>
              </w:rPr>
              <w:t>End Zone Displays</w:t>
            </w:r>
          </w:p>
        </w:tc>
        <w:tc>
          <w:tcPr>
            <w:tcW w:type="dxa" w:w="3312"/>
            <w:vAlign w:val="center"/>
          </w:tcPr>
          <w:p>
            <w:r>
              <w:rPr>
                <w:rFonts w:ascii="Calibri" w:hAnsi="Calibri"/>
                <w:color w:val="222222"/>
                <w:sz w:val="19"/>
              </w:rPr>
              <w:t>10mm custom build; 5,920 × 1,056 pixel-format basis; 50 sections per face; 2 faces; approximately 76,500 lb total estimated weight; 187 exhaust/circulation fans per face shown.</w:t>
            </w:r>
          </w:p>
        </w:tc>
        <w:tc>
          <w:tcPr>
            <w:tcW w:type="dxa" w:w="3312"/>
            <w:vAlign w:val="center"/>
          </w:tcPr>
          <w:p>
            <w:r>
              <w:rPr>
                <w:rFonts w:ascii="Calibri" w:hAnsi="Calibri"/>
                <w:color w:val="222222"/>
                <w:sz w:val="19"/>
              </w:rPr>
              <w:t>Large custom display assemblies with dedicated ventilation and structural integration; not a commodity display that can be readily substituted component-for-component.</w:t>
            </w:r>
          </w:p>
        </w:tc>
      </w:tr>
      <w:tr>
        <w:tc>
          <w:tcPr>
            <w:tcW w:type="dxa" w:w="3312"/>
            <w:vAlign w:val="center"/>
            <w:shd w:val="clear" w:color="auto" w:fill="F2F4F8"/>
          </w:tcPr>
          <w:p>
            <w:r>
              <w:rPr>
                <w:rFonts w:ascii="Calibri" w:hAnsi="Calibri"/>
                <w:color w:val="222222"/>
                <w:sz w:val="19"/>
              </w:rPr>
              <w:t>Upper Fascia</w:t>
            </w:r>
          </w:p>
        </w:tc>
        <w:tc>
          <w:tcPr>
            <w:tcW w:type="dxa" w:w="3312"/>
            <w:vAlign w:val="center"/>
            <w:shd w:val="clear" w:color="auto" w:fill="F2F4F8"/>
          </w:tcPr>
          <w:p>
            <w:r>
              <w:rPr>
                <w:rFonts w:ascii="Calibri" w:hAnsi="Calibri"/>
                <w:color w:val="222222"/>
                <w:sz w:val="19"/>
              </w:rPr>
              <w:t>16mm, 9,424 × 64; 74 sections per face; 2 faces; 74 fans per face; F-100 fan type identified.</w:t>
            </w:r>
          </w:p>
        </w:tc>
        <w:tc>
          <w:tcPr>
            <w:tcW w:type="dxa" w:w="3312"/>
            <w:vAlign w:val="center"/>
            <w:shd w:val="clear" w:color="auto" w:fill="F2F4F8"/>
          </w:tcPr>
          <w:p>
            <w:r>
              <w:rPr>
                <w:rFonts w:ascii="Calibri" w:hAnsi="Calibri"/>
                <w:color w:val="222222"/>
                <w:sz w:val="19"/>
              </w:rPr>
              <w:t>Large distributed fascia system with dedicated cabinet layout, power-entry locations, expansion-joint details, and serviceable modules.</w:t>
            </w:r>
          </w:p>
        </w:tc>
      </w:tr>
      <w:tr>
        <w:tc>
          <w:tcPr>
            <w:tcW w:type="dxa" w:w="3312"/>
            <w:vAlign w:val="center"/>
          </w:tcPr>
          <w:p>
            <w:r>
              <w:rPr>
                <w:rFonts w:ascii="Calibri" w:hAnsi="Calibri"/>
                <w:color w:val="222222"/>
                <w:sz w:val="19"/>
              </w:rPr>
              <w:t>Lower North Fascia</w:t>
            </w:r>
          </w:p>
        </w:tc>
        <w:tc>
          <w:tcPr>
            <w:tcW w:type="dxa" w:w="3312"/>
            <w:vAlign w:val="center"/>
          </w:tcPr>
          <w:p>
            <w:r>
              <w:rPr>
                <w:rFonts w:ascii="Calibri" w:hAnsi="Calibri"/>
                <w:color w:val="222222"/>
                <w:sz w:val="19"/>
              </w:rPr>
              <w:t>16mm, 12,528 × 64; 113 sections; 1 face; 97 fans; estimated weight 23,782 lb.</w:t>
            </w:r>
          </w:p>
        </w:tc>
        <w:tc>
          <w:tcPr>
            <w:tcW w:type="dxa" w:w="3312"/>
            <w:vAlign w:val="center"/>
          </w:tcPr>
          <w:p>
            <w:r>
              <w:rPr>
                <w:rFonts w:ascii="Calibri" w:hAnsi="Calibri"/>
                <w:color w:val="222222"/>
                <w:sz w:val="19"/>
              </w:rPr>
              <w:t>Long-format custom fascia with 783 modules / 12,528 pixels identified in the component layout.</w:t>
            </w:r>
          </w:p>
        </w:tc>
      </w:tr>
      <w:tr>
        <w:tc>
          <w:tcPr>
            <w:tcW w:type="dxa" w:w="3312"/>
            <w:vAlign w:val="center"/>
            <w:shd w:val="clear" w:color="auto" w:fill="F2F4F8"/>
          </w:tcPr>
          <w:p>
            <w:r>
              <w:rPr>
                <w:rFonts w:ascii="Calibri" w:hAnsi="Calibri"/>
                <w:color w:val="222222"/>
                <w:sz w:val="19"/>
              </w:rPr>
              <w:t>Lower South Fascia</w:t>
            </w:r>
          </w:p>
        </w:tc>
        <w:tc>
          <w:tcPr>
            <w:tcW w:type="dxa" w:w="3312"/>
            <w:vAlign w:val="center"/>
            <w:shd w:val="clear" w:color="auto" w:fill="F2F4F8"/>
          </w:tcPr>
          <w:p>
            <w:r>
              <w:rPr>
                <w:rFonts w:ascii="Calibri" w:hAnsi="Calibri"/>
                <w:color w:val="222222"/>
                <w:sz w:val="19"/>
              </w:rPr>
              <w:t>16mm, 11,760 × 64; 93 sections; 1 face; 95 fans; estimated weight 25,316 lb.</w:t>
            </w:r>
          </w:p>
        </w:tc>
        <w:tc>
          <w:tcPr>
            <w:tcW w:type="dxa" w:w="3312"/>
            <w:vAlign w:val="center"/>
            <w:shd w:val="clear" w:color="auto" w:fill="F2F4F8"/>
          </w:tcPr>
          <w:p>
            <w:r>
              <w:rPr>
                <w:rFonts w:ascii="Calibri" w:hAnsi="Calibri"/>
                <w:color w:val="222222"/>
                <w:sz w:val="19"/>
              </w:rPr>
              <w:t>Custom curved/faceted stadium fascia with 735 modules / 11,760 pixels identified in the drawing.</w:t>
            </w:r>
          </w:p>
        </w:tc>
      </w:tr>
      <w:tr>
        <w:tc>
          <w:tcPr>
            <w:tcW w:type="dxa" w:w="3312"/>
            <w:vAlign w:val="center"/>
          </w:tcPr>
          <w:p>
            <w:r>
              <w:rPr>
                <w:rFonts w:ascii="Calibri" w:hAnsi="Calibri"/>
                <w:color w:val="222222"/>
                <w:sz w:val="19"/>
              </w:rPr>
              <w:t>End Zone Ventilation</w:t>
            </w:r>
          </w:p>
        </w:tc>
        <w:tc>
          <w:tcPr>
            <w:tcW w:type="dxa" w:w="3312"/>
            <w:vAlign w:val="center"/>
          </w:tcPr>
          <w:p>
            <w:r>
              <w:rPr>
                <w:rFonts w:ascii="Calibri" w:hAnsi="Calibri"/>
                <w:color w:val="222222"/>
                <w:sz w:val="19"/>
              </w:rPr>
              <w:t>Open grating behind display; approximately 38,400 sq. in. of rear ventilation area; large exhaust fans approximately 4,000 CFM each; circulation fans approximately 3,000 CFM.</w:t>
            </w:r>
          </w:p>
        </w:tc>
        <w:tc>
          <w:tcPr>
            <w:tcW w:type="dxa" w:w="3312"/>
            <w:vAlign w:val="center"/>
          </w:tcPr>
          <w:p>
            <w:r>
              <w:rPr>
                <w:rFonts w:ascii="Calibri" w:hAnsi="Calibri"/>
                <w:color w:val="222222"/>
                <w:sz w:val="19"/>
              </w:rPr>
              <w:t>Shows the displays are integrated systems with dedicated thermal-management infrastructure.</w:t>
            </w:r>
          </w:p>
        </w:tc>
      </w:tr>
      <w:tr>
        <w:tc>
          <w:tcPr>
            <w:tcW w:type="dxa" w:w="3312"/>
            <w:vAlign w:val="center"/>
            <w:shd w:val="clear" w:color="auto" w:fill="F2F4F8"/>
          </w:tcPr>
          <w:p>
            <w:r>
              <w:rPr>
                <w:rFonts w:ascii="Calibri" w:hAnsi="Calibri"/>
                <w:color w:val="222222"/>
                <w:sz w:val="19"/>
              </w:rPr>
              <w:t>Custom Fabrication</w:t>
            </w:r>
          </w:p>
        </w:tc>
        <w:tc>
          <w:tcPr>
            <w:tcW w:type="dxa" w:w="3312"/>
            <w:vAlign w:val="center"/>
            <w:shd w:val="clear" w:color="auto" w:fill="F2F4F8"/>
          </w:tcPr>
          <w:p>
            <w:r>
              <w:rPr>
                <w:rFonts w:ascii="Calibri" w:hAnsi="Calibri"/>
                <w:color w:val="222222"/>
                <w:sz w:val="19"/>
              </w:rPr>
              <w:t>Drawings identify Prismview / A Samsung Electronics Company and custom cabinet/build details.</w:t>
            </w:r>
          </w:p>
        </w:tc>
        <w:tc>
          <w:tcPr>
            <w:tcW w:type="dxa" w:w="3312"/>
            <w:vAlign w:val="center"/>
            <w:shd w:val="clear" w:color="auto" w:fill="F2F4F8"/>
          </w:tcPr>
          <w:p>
            <w:r>
              <w:rPr>
                <w:rFonts w:ascii="Calibri" w:hAnsi="Calibri"/>
                <w:color w:val="222222"/>
                <w:sz w:val="19"/>
              </w:rPr>
              <w:t>Supports the conclusion that the installed system is manufacturer-specific and not readily interchangeable with generic LED modules or processors.</w:t>
            </w:r>
          </w:p>
        </w:tc>
      </w:tr>
    </w:tbl>
    <w:p>
      <w:pPr>
        <w:spacing w:after="120"/>
      </w:pPr>
      <w:r>
        <w:t>The drawings also identify distributed cabinet power locations, emergency-power connections, expansion joints, custom mounting interfaces, and component layouts. For example, the Upper Fascia drawings identify 74 sections per face and specific cabinet power-entry locations, while the Lower Fascia drawings identify hundreds of individual modules and dedicated cabinet numbering. These details demonstrate that replacement is a systems-engineering project—not simply a matter of swapping individual LED panels.</w:t>
      </w:r>
    </w:p>
    <w:p>
      <w:pPr>
        <w:spacing w:after="120"/>
      </w:pPr>
      <w:r>
        <w:t>The drawing package should therefore be considered part of the replacement planning record. Any replacement program should account for existing display dimensions, cabinet locations, structural interfaces, power distribution, ventilation, access, and the existing pixel matrices so that the new system can be integrated without assuming that the old component architecture can simply be reused.</w:t>
      </w:r>
    </w:p>
    <w:p>
      <w:pPr>
        <w:pStyle w:val="Heading1"/>
        <w:spacing w:before="280" w:after="120"/>
      </w:pPr>
      <w:r>
        <w:rPr>
          <w:rFonts w:ascii="Calibri" w:hAnsi="Calibri"/>
          <w:b/>
          <w:color w:val="0A1F44"/>
          <w:sz w:val="28"/>
        </w:rPr>
        <w:t>6. Samsung S-Box / Proprietary Processing Architecture</w:t>
      </w:r>
    </w:p>
    <w:p>
      <w:pPr>
        <w:spacing w:after="120"/>
      </w:pPr>
      <w:r>
        <w:t>A further lifecycle consideration is the Samsung S-Box processing and control architecture. Samsung describes its LED S-Box as a centralized device that delivers content to multiple LED displays and provides display configuration, processing, and monitoring functions. Samsung's S-Box platform also supports Samsung-specific LED processing features such as LED HDR, dynamic peaking, inverse tone mapping, and color mapping on compatible products.</w:t>
      </w:r>
    </w:p>
    <w:p>
      <w:pPr>
        <w:spacing w:after="120"/>
      </w:pPr>
      <w:r>
        <w:t>For this installation, the important issue is not simply the physical S-Box chassis. The S-Box represents part of the Samsung-specific signal-processing ecosystem that sits between the facility's video-production/content systems and the LED display hardware. The processing chain is responsible for receiving video, formatting and distributing the signal, mapping content to the display's pixel architecture, and maintaining the processing parameters required for the LED system.</w:t>
      </w:r>
    </w:p>
    <w:p>
      <w:pPr>
        <w:spacing w:after="120"/>
      </w:pPr>
      <w:r>
        <w:t>Because the M&amp;T Bank Stadium displays were custom-engineered by Prismview, a Samsung Electronics company, the display hardware and its processing/control ecosystem were developed as an integrated solution. This creates a lifecycle dependency: maintaining the LED modules alone does not guarantee that the system remains supportable if the associated processing, controller, firmware, interface, or configuration platform becomes obsolete.</w:t>
      </w:r>
    </w:p>
    <w:p>
      <w:pPr>
        <w:spacing w:after="120"/>
      </w:pPr>
      <w:r>
        <w:t>Samsung's current product literature continues to identify proprietary S-Box support as a feature of its LED display ecosystem. Samsung also documents S-Box models as dedicated LED image processors, and its installation documentation provides device-level information such as LED cabinet identification, connected/unconnected cabinet counts, firmware information, serial numbers, and version information.</w:t>
      </w:r>
    </w:p>
    <w:p>
      <w:pPr>
        <w:spacing w:after="120"/>
      </w:pPr>
      <w:r>
        <w:t>The available as-built drawing package does not identify a specific S-Box model number, so the exact installed S-Box model should be confirmed from the existing equipment racks and inventory before final replacement specifications are issued. This is important because Samsung has used multiple S-Box generations and model families over time, and compatibility is model-specific.</w:t>
      </w:r>
    </w:p>
    <w:p>
      <w:pPr>
        <w:spacing w:after="120"/>
      </w:pPr>
      <w:r>
        <w:t>From a replacement-planning standpoint, this proprietary processing dependency strengthens the case for replacing the system as a complete supported platform rather than attempting to extend the life of the LED modules indefinitely. A new display system should include a current, manufacturer-supported processing architecture with documented firmware, controller, signal, monitoring, and service support.</w:t>
      </w:r>
    </w:p>
    <w:p>
      <w:pPr>
        <w:pStyle w:val="Heading2"/>
      </w:pPr>
      <w:r>
        <w:rPr>
          <w:rFonts w:ascii="Calibri" w:hAnsi="Calibri"/>
          <w:b/>
          <w:color w:val="E31837"/>
          <w:sz w:val="24"/>
        </w:rPr>
        <w:t>Why the S-Box Matters to the Obsolescence Argument</w:t>
      </w:r>
    </w:p>
    <w:p>
      <w:pPr>
        <w:pStyle w:val="ListBullet"/>
        <w:spacing w:after="40"/>
      </w:pPr>
      <w:r>
        <w:t>It is part of the signal-processing and control path, not simply an optional accessory.</w:t>
      </w:r>
    </w:p>
    <w:p>
      <w:pPr>
        <w:pStyle w:val="ListBullet"/>
        <w:spacing w:after="40"/>
      </w:pPr>
      <w:r>
        <w:t>It provides the interface between video sources and the LED display architecture.</w:t>
      </w:r>
    </w:p>
    <w:p>
      <w:pPr>
        <w:pStyle w:val="ListBullet"/>
        <w:spacing w:after="40"/>
      </w:pPr>
      <w:r>
        <w:t>Samsung's processing features are designed around its LED display ecosystem and compatible cabinet/controller architecture.</w:t>
      </w:r>
    </w:p>
    <w:p>
      <w:pPr>
        <w:pStyle w:val="ListBullet"/>
        <w:spacing w:after="40"/>
      </w:pPr>
      <w:r>
        <w:t>The processing layer has its own firmware, hardware, and lifecycle considerations independent of LED diode life.</w:t>
      </w:r>
    </w:p>
    <w:p>
      <w:pPr>
        <w:pStyle w:val="ListBullet"/>
        <w:spacing w:after="40"/>
      </w:pPr>
      <w:r>
        <w:t>A display can remain physically repairable while the overall system becomes difficult to support because its processing/controller platform is obsolete.</w:t>
      </w:r>
    </w:p>
    <w:p>
      <w:pPr>
        <w:pStyle w:val="ListBullet"/>
        <w:spacing w:after="40"/>
      </w:pPr>
      <w:r>
        <w:t>Replacing the LED hardware without addressing the processing architecture would risk carrying forward the same lifecycle dependency.</w:t>
      </w:r>
    </w:p>
    <w:p>
      <w:pPr>
        <w:pStyle w:val="Heading1"/>
        <w:spacing w:before="280" w:after="120"/>
      </w:pPr>
      <w:r>
        <w:rPr>
          <w:rFonts w:ascii="Calibri" w:hAnsi="Calibri"/>
          <w:b/>
          <w:color w:val="0A1F44"/>
          <w:sz w:val="28"/>
        </w:rPr>
        <w:t>7. Replacement Parts Availability</w:t>
      </w:r>
    </w:p>
    <w:p>
      <w:pPr>
        <w:spacing w:after="120"/>
      </w:pPr>
      <w:r>
        <w:t>The most significant maintainability concern is the availability of replacement parts. The existing Samsung equipment is approximately eight years old, and replacement parts are no longer available through external sources. The remaining onsite inventory is understood to be the only known source of replacement components for the existing system; its quantities should be reconciled against a current physical count.</w:t>
      </w:r>
    </w:p>
    <w:p>
      <w:pPr>
        <w:spacing w:after="120"/>
      </w:pPr>
      <w:r>
        <w:t>Under a normal lifecycle model, a failed component can be replaced from inventory and the inventory can subsequently be replenished through the manufacturer, distributor, or aftermarket supply chain. That is no longer the case here.</w:t>
      </w:r>
    </w:p>
    <w:p>
      <w:pPr>
        <w:spacing w:after="120"/>
      </w:pPr>
      <w:r>
        <w:t>The current lifecycle can be represented as:</w:t>
      </w:r>
    </w:p>
    <w:p>
      <w:pPr>
        <w:jc w:val="center"/>
      </w:pPr>
      <w:r>
        <w:rPr>
          <w:b/>
        </w:rPr>
        <w:t>Failure → Onsite spare consumed → Inventory decreases → No replenishment → Increasing probability of an unrepairable failure</w:t>
      </w:r>
    </w:p>
    <w:p>
      <w:pPr>
        <w:pStyle w:val="Heading1"/>
        <w:spacing w:before="280" w:after="120"/>
      </w:pPr>
      <w:r>
        <w:rPr>
          <w:rFonts w:ascii="Calibri" w:hAnsi="Calibri"/>
          <w:b/>
          <w:color w:val="0A1F44"/>
          <w:sz w:val="28"/>
        </w:rPr>
        <w:t>8. Existing Spare Parts Inventory</w:t>
      </w:r>
    </w:p>
    <w:p>
      <w:pPr>
        <w:spacing w:after="120"/>
      </w:pPr>
      <w:r>
        <w:t>The spare-parts percentage analysis below has been revised to use only the quantities and display/module counts identifiable from the current as-built drawing package. It does not use the previously supplied inventory worksheet to establish the denominator or to estimate spare percentages. Where the current drawings do not show a matching spare quantity, the percentage is not calculated.</w:t>
      </w:r>
    </w:p>
    <w:p>
      <w:pPr>
        <w:spacing w:after="120"/>
      </w:pPr>
      <w:r>
        <w:t>The drawings identify the following current display configurations and module quantities: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val="clear" w:color="auto" w:fill="0A1F44"/>
          </w:tcPr>
          <w:p>
            <w:r>
              <w:rPr>
                <w:rFonts w:ascii="Calibri" w:hAnsi="Calibri"/>
                <w:b/>
                <w:color w:val="FFFFFF"/>
                <w:sz w:val="20"/>
              </w:rPr>
              <w:t>Display Area</w:t>
            </w:r>
          </w:p>
        </w:tc>
        <w:tc>
          <w:tcPr>
            <w:tcW w:type="dxa" w:w="2484"/>
            <w:vAlign w:val="center"/>
            <w:shd w:val="clear" w:color="auto" w:fill="0A1F44"/>
          </w:tcPr>
          <w:p>
            <w:r>
              <w:rPr>
                <w:rFonts w:ascii="Calibri" w:hAnsi="Calibri"/>
                <w:b/>
                <w:color w:val="FFFFFF"/>
                <w:sz w:val="20"/>
              </w:rPr>
              <w:t>Current Drawing Basis</w:t>
            </w:r>
          </w:p>
        </w:tc>
        <w:tc>
          <w:tcPr>
            <w:tcW w:type="dxa" w:w="2484"/>
            <w:vAlign w:val="center"/>
            <w:shd w:val="clear" w:color="auto" w:fill="0A1F44"/>
          </w:tcPr>
          <w:p>
            <w:r>
              <w:rPr>
                <w:rFonts w:ascii="Calibri" w:hAnsi="Calibri"/>
                <w:b/>
                <w:color w:val="FFFFFF"/>
                <w:sz w:val="20"/>
              </w:rPr>
              <w:t>Modules / Sections Identified</w:t>
            </w:r>
          </w:p>
        </w:tc>
        <w:tc>
          <w:tcPr>
            <w:tcW w:type="dxa" w:w="2484"/>
            <w:vAlign w:val="center"/>
            <w:shd w:val="clear" w:color="auto" w:fill="0A1F44"/>
          </w:tcPr>
          <w:p>
            <w:r>
              <w:rPr>
                <w:rFonts w:ascii="Calibri" w:hAnsi="Calibri"/>
                <w:b/>
                <w:color w:val="FFFFFF"/>
                <w:sz w:val="20"/>
              </w:rPr>
              <w:t>Spare %</w:t>
            </w:r>
          </w:p>
        </w:tc>
      </w:tr>
      <w:tr>
        <w:tc>
          <w:tcPr>
            <w:tcW w:type="dxa" w:w="2484"/>
            <w:vAlign w:val="center"/>
          </w:tcPr>
          <w:p>
            <w:r>
              <w:rPr>
                <w:rFonts w:ascii="Calibri" w:hAnsi="Calibri"/>
                <w:color w:val="222222"/>
                <w:sz w:val="19"/>
              </w:rPr>
              <w:t>Upper Fascia</w:t>
            </w:r>
          </w:p>
        </w:tc>
        <w:tc>
          <w:tcPr>
            <w:tcW w:type="dxa" w:w="2484"/>
            <w:vAlign w:val="center"/>
          </w:tcPr>
          <w:p>
            <w:r>
              <w:rPr>
                <w:rFonts w:ascii="Calibri" w:hAnsi="Calibri"/>
                <w:color w:val="222222"/>
                <w:sz w:val="19"/>
              </w:rPr>
              <w:t>16mm; 9,424 × 64; 74 sections per face; 2 faces</w:t>
            </w:r>
          </w:p>
        </w:tc>
        <w:tc>
          <w:tcPr>
            <w:tcW w:type="dxa" w:w="2484"/>
            <w:vAlign w:val="center"/>
          </w:tcPr>
          <w:p>
            <w:r>
              <w:rPr>
                <w:rFonts w:ascii="Calibri" w:hAnsi="Calibri"/>
                <w:color w:val="222222"/>
                <w:sz w:val="19"/>
              </w:rPr>
              <w:t>Drawing identifies 74 sections/face; module count is not used unless explicitly shown</w:t>
            </w:r>
          </w:p>
        </w:tc>
        <w:tc>
          <w:tcPr>
            <w:tcW w:type="dxa" w:w="2484"/>
            <w:vAlign w:val="center"/>
          </w:tcPr>
          <w:p>
            <w:r>
              <w:rPr>
                <w:rFonts w:ascii="Calibri" w:hAnsi="Calibri"/>
                <w:color w:val="222222"/>
                <w:sz w:val="19"/>
              </w:rPr>
              <w:t>N/A – spare count not shown on drawing</w:t>
            </w:r>
          </w:p>
        </w:tc>
      </w:tr>
      <w:tr>
        <w:tc>
          <w:tcPr>
            <w:tcW w:type="dxa" w:w="2484"/>
            <w:vAlign w:val="center"/>
            <w:shd w:val="clear" w:color="auto" w:fill="F2F4F8"/>
          </w:tcPr>
          <w:p>
            <w:r>
              <w:rPr>
                <w:rFonts w:ascii="Calibri" w:hAnsi="Calibri"/>
                <w:color w:val="222222"/>
                <w:sz w:val="19"/>
              </w:rPr>
              <w:t>Lower North Fascia</w:t>
            </w:r>
          </w:p>
        </w:tc>
        <w:tc>
          <w:tcPr>
            <w:tcW w:type="dxa" w:w="2484"/>
            <w:vAlign w:val="center"/>
            <w:shd w:val="clear" w:color="auto" w:fill="F2F4F8"/>
          </w:tcPr>
          <w:p>
            <w:r>
              <w:rPr>
                <w:rFonts w:ascii="Calibri" w:hAnsi="Calibri"/>
                <w:color w:val="222222"/>
                <w:sz w:val="19"/>
              </w:rPr>
              <w:t>16mm; 12,528 × 64; 113 sections; 1 face</w:t>
            </w:r>
          </w:p>
        </w:tc>
        <w:tc>
          <w:tcPr>
            <w:tcW w:type="dxa" w:w="2484"/>
            <w:vAlign w:val="center"/>
            <w:shd w:val="clear" w:color="auto" w:fill="F2F4F8"/>
          </w:tcPr>
          <w:p>
            <w:r>
              <w:rPr>
                <w:rFonts w:ascii="Calibri" w:hAnsi="Calibri"/>
                <w:color w:val="222222"/>
                <w:sz w:val="19"/>
              </w:rPr>
              <w:t>783 modules / 12,528 pixels</w:t>
            </w:r>
          </w:p>
        </w:tc>
        <w:tc>
          <w:tcPr>
            <w:tcW w:type="dxa" w:w="2484"/>
            <w:vAlign w:val="center"/>
            <w:shd w:val="clear" w:color="auto" w:fill="F2F4F8"/>
          </w:tcPr>
          <w:p>
            <w:r>
              <w:rPr>
                <w:rFonts w:ascii="Calibri" w:hAnsi="Calibri"/>
                <w:color w:val="222222"/>
                <w:sz w:val="19"/>
              </w:rPr>
              <w:t>N/A – spare count not shown on drawing</w:t>
            </w:r>
          </w:p>
        </w:tc>
      </w:tr>
      <w:tr>
        <w:tc>
          <w:tcPr>
            <w:tcW w:type="dxa" w:w="2484"/>
            <w:vAlign w:val="center"/>
          </w:tcPr>
          <w:p>
            <w:r>
              <w:rPr>
                <w:rFonts w:ascii="Calibri" w:hAnsi="Calibri"/>
                <w:color w:val="222222"/>
                <w:sz w:val="19"/>
              </w:rPr>
              <w:t>Lower South Fascia</w:t>
            </w:r>
          </w:p>
        </w:tc>
        <w:tc>
          <w:tcPr>
            <w:tcW w:type="dxa" w:w="2484"/>
            <w:vAlign w:val="center"/>
          </w:tcPr>
          <w:p>
            <w:r>
              <w:rPr>
                <w:rFonts w:ascii="Calibri" w:hAnsi="Calibri"/>
                <w:color w:val="222222"/>
                <w:sz w:val="19"/>
              </w:rPr>
              <w:t>16mm; 11,760 × 64; 93 sections; 1 face</w:t>
            </w:r>
          </w:p>
        </w:tc>
        <w:tc>
          <w:tcPr>
            <w:tcW w:type="dxa" w:w="2484"/>
            <w:vAlign w:val="center"/>
          </w:tcPr>
          <w:p>
            <w:r>
              <w:rPr>
                <w:rFonts w:ascii="Calibri" w:hAnsi="Calibri"/>
                <w:color w:val="222222"/>
                <w:sz w:val="19"/>
              </w:rPr>
              <w:t>735 modules / 11,760 pixels</w:t>
            </w:r>
          </w:p>
        </w:tc>
        <w:tc>
          <w:tcPr>
            <w:tcW w:type="dxa" w:w="2484"/>
            <w:vAlign w:val="center"/>
          </w:tcPr>
          <w:p>
            <w:r>
              <w:rPr>
                <w:rFonts w:ascii="Calibri" w:hAnsi="Calibri"/>
                <w:color w:val="222222"/>
                <w:sz w:val="19"/>
              </w:rPr>
              <w:t>N/A – spare count not shown on drawing</w:t>
            </w:r>
          </w:p>
        </w:tc>
      </w:tr>
      <w:tr>
        <w:tc>
          <w:tcPr>
            <w:tcW w:type="dxa" w:w="2484"/>
            <w:vAlign w:val="center"/>
            <w:shd w:val="clear" w:color="auto" w:fill="F2F4F8"/>
          </w:tcPr>
          <w:p>
            <w:r>
              <w:rPr>
                <w:rFonts w:ascii="Calibri" w:hAnsi="Calibri"/>
                <w:color w:val="222222"/>
                <w:sz w:val="19"/>
              </w:rPr>
              <w:t>End Zone</w:t>
            </w:r>
          </w:p>
        </w:tc>
        <w:tc>
          <w:tcPr>
            <w:tcW w:type="dxa" w:w="2484"/>
            <w:vAlign w:val="center"/>
            <w:shd w:val="clear" w:color="auto" w:fill="F2F4F8"/>
          </w:tcPr>
          <w:p>
            <w:r>
              <w:rPr>
                <w:rFonts w:ascii="Calibri" w:hAnsi="Calibri"/>
                <w:color w:val="222222"/>
                <w:sz w:val="19"/>
              </w:rPr>
              <w:t>10mm custom build; 5,920 × 1,056; 50 sections/face; 2 faces</w:t>
            </w:r>
          </w:p>
        </w:tc>
        <w:tc>
          <w:tcPr>
            <w:tcW w:type="dxa" w:w="2484"/>
            <w:vAlign w:val="center"/>
            <w:shd w:val="clear" w:color="auto" w:fill="F2F4F8"/>
          </w:tcPr>
          <w:p>
            <w:r>
              <w:rPr>
                <w:rFonts w:ascii="Calibri" w:hAnsi="Calibri"/>
                <w:color w:val="222222"/>
                <w:sz w:val="19"/>
              </w:rPr>
              <w:t>5,920 × 1,056 pixel-format basis; 50 sections/face</w:t>
            </w:r>
          </w:p>
        </w:tc>
        <w:tc>
          <w:tcPr>
            <w:tcW w:type="dxa" w:w="2484"/>
            <w:vAlign w:val="center"/>
            <w:shd w:val="clear" w:color="auto" w:fill="F2F4F8"/>
          </w:tcPr>
          <w:p>
            <w:r>
              <w:rPr>
                <w:rFonts w:ascii="Calibri" w:hAnsi="Calibri"/>
                <w:color w:val="222222"/>
                <w:sz w:val="19"/>
              </w:rPr>
              <w:t>N/A – spare count not shown on drawing</w:t>
            </w:r>
          </w:p>
        </w:tc>
      </w:tr>
    </w:tbl>
    <w:p>
      <w:pPr>
        <w:spacing w:after="120"/>
      </w:pPr>
      <w:r>
        <w:t>Important limitation: the current as-built drawings establish the installed display configuration, but they do not provide a complete spare-parts inventory. Therefore, a defensible spare percentage can only be calculated for a component where both (1) the current drawing identifies the installed quantity and (2) the drawing set identifies the corresponding spare quantity. The drawings reviewed do not show a complete onsite spare inventory by part number.</w:t>
      </w:r>
    </w:p>
    <w:p>
      <w:pPr>
        <w:spacing w:after="120"/>
      </w:pPr>
      <w:r>
        <w:t>For the client report, this is preferable to mixing drawing-derived installed quantities with the separate inventory worksheet. The resulting analysis is traceable directly to the current drawings and avoids overstating the percentage of spares available.</w:t>
      </w:r>
    </w:p>
    <w:p>
      <w:r>
        <w:t>Because the current drawings do not identify the complete onsite spare inventory, the drawings should be used as the authoritative basis for installed system quantities, while the actual spare percentage should be calculated separately from a verified physical inventory. This prevents a misleading comparison between unlike drawing and inventory datasets.</w:t>
      </w:r>
    </w:p>
    <w:p>
      <w:pPr>
        <w:pStyle w:val="Heading1"/>
        <w:spacing w:before="280" w:after="120"/>
      </w:pPr>
      <w:r>
        <w:rPr>
          <w:rFonts w:ascii="Calibri" w:hAnsi="Calibri"/>
          <w:b/>
          <w:color w:val="0A1F44"/>
          <w:sz w:val="28"/>
        </w:rPr>
        <w:t>9. The Parts Cliff</w:t>
      </w:r>
    </w:p>
    <w:p>
      <w:pPr>
        <w:spacing w:after="120"/>
      </w:pPr>
      <w:r>
        <w:t>The most important lifecycle issue is eventual depletion of critical spare components. The current inventory can support repairs only as long as the necessary component remains available onsite.</w:t>
      </w:r>
    </w:p>
    <w:p>
      <w:pPr>
        <w:spacing w:after="120"/>
      </w:pPr>
      <w:r>
        <w:t>For any component, the useful metric is remaining coverage: current spare quantity divided by the average historical consumption rate. For example, ten remaining parts with an average consumption of five parts per year represent approximately two years of historical coverage. If no additional parts can be purchased, the point at which inventory reaches zero becomes a significant operational milestone.</w:t>
      </w:r>
    </w:p>
    <w:p>
      <w:pPr>
        <w:spacing w:after="120"/>
      </w:pPr>
      <w:r>
        <w:t>This can be thought of as the 'parts cliff.' The system can appear maintainable immediately before the parts cliff because spares remain available. Once a critical component reaches zero, the next failure of that component may no longer be repairable.</w:t>
      </w:r>
    </w:p>
    <w:p>
      <w:pPr>
        <w:jc w:val="center"/>
      </w:pPr>
      <w:r>
        <w:rPr>
          <w:b/>
        </w:rPr>
        <w:t>Component failure → component replacement</w:t>
      </w:r>
    </w:p>
    <w:p>
      <w:pPr>
        <w:jc w:val="center"/>
      </w:pPr>
      <w:r>
        <w:rPr>
          <w:i/>
        </w:rPr>
        <w:t>becomes</w:t>
      </w:r>
    </w:p>
    <w:p>
      <w:pPr>
        <w:jc w:val="center"/>
      </w:pPr>
      <w:r>
        <w:rPr>
          <w:b/>
        </w:rPr>
        <w:t>Component failure → unavailable part → extended outage or display replacement</w:t>
      </w:r>
    </w:p>
    <w:p>
      <w:pPr>
        <w:pStyle w:val="Heading1"/>
        <w:spacing w:before="280" w:after="120"/>
      </w:pPr>
      <w:r>
        <w:rPr>
          <w:rFonts w:ascii="Calibri" w:hAnsi="Calibri"/>
          <w:b/>
          <w:color w:val="0A1F44"/>
          <w:sz w:val="28"/>
        </w:rPr>
        <w:t>10. Overall Risk Assessment</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val="clear" w:color="auto" w:fill="0A1F44"/>
          </w:tcPr>
          <w:p>
            <w:r>
              <w:rPr>
                <w:rFonts w:ascii="Calibri" w:hAnsi="Calibri"/>
                <w:b/>
                <w:color w:val="FFFFFF"/>
                <w:sz w:val="20"/>
              </w:rPr>
              <w:t>Risk Area</w:t>
            </w:r>
          </w:p>
        </w:tc>
        <w:tc>
          <w:tcPr>
            <w:tcW w:type="dxa" w:w="3312"/>
            <w:vAlign w:val="center"/>
            <w:shd w:val="clear" w:color="auto" w:fill="0A1F44"/>
          </w:tcPr>
          <w:p>
            <w:r>
              <w:rPr>
                <w:rFonts w:ascii="Calibri" w:hAnsi="Calibri"/>
                <w:b/>
                <w:color w:val="FFFFFF"/>
                <w:sz w:val="20"/>
              </w:rPr>
              <w:t>Current Condition</w:t>
            </w:r>
          </w:p>
        </w:tc>
        <w:tc>
          <w:tcPr>
            <w:tcW w:type="dxa" w:w="3312"/>
            <w:vAlign w:val="center"/>
            <w:shd w:val="clear" w:color="auto" w:fill="0A1F44"/>
          </w:tcPr>
          <w:p>
            <w:r>
              <w:rPr>
                <w:rFonts w:ascii="Calibri" w:hAnsi="Calibri"/>
                <w:b/>
                <w:color w:val="FFFFFF"/>
                <w:sz w:val="20"/>
              </w:rPr>
              <w:t>Lifecycle Implication</w:t>
            </w:r>
          </w:p>
        </w:tc>
      </w:tr>
      <w:tr>
        <w:tc>
          <w:tcPr>
            <w:tcW w:type="dxa" w:w="3312"/>
            <w:vAlign w:val="center"/>
          </w:tcPr>
          <w:p>
            <w:r>
              <w:rPr>
                <w:rFonts w:ascii="Calibri" w:hAnsi="Calibri"/>
                <w:color w:val="222222"/>
                <w:sz w:val="19"/>
              </w:rPr>
              <w:t>Age</w:t>
            </w:r>
          </w:p>
        </w:tc>
        <w:tc>
          <w:tcPr>
            <w:tcW w:type="dxa" w:w="3312"/>
            <w:vAlign w:val="center"/>
          </w:tcPr>
          <w:p>
            <w:r>
              <w:rPr>
                <w:rFonts w:ascii="Calibri" w:hAnsi="Calibri"/>
                <w:color w:val="222222"/>
                <w:sz w:val="19"/>
              </w:rPr>
              <w:t>Installed in 2018; approximately eight years in service.</w:t>
            </w:r>
          </w:p>
        </w:tc>
        <w:tc>
          <w:tcPr>
            <w:tcW w:type="dxa" w:w="3312"/>
            <w:vAlign w:val="center"/>
          </w:tcPr>
          <w:p>
            <w:r>
              <w:rPr>
                <w:rFonts w:ascii="Calibri" w:hAnsi="Calibri"/>
                <w:color w:val="222222"/>
                <w:sz w:val="19"/>
              </w:rPr>
              <w:t>At/near the upper end of Samsung's stated average display lifespan.</w:t>
            </w:r>
          </w:p>
        </w:tc>
      </w:tr>
      <w:tr>
        <w:tc>
          <w:tcPr>
            <w:tcW w:type="dxa" w:w="3312"/>
            <w:vAlign w:val="center"/>
            <w:shd w:val="clear" w:color="auto" w:fill="F2F4F8"/>
          </w:tcPr>
          <w:p>
            <w:r>
              <w:rPr>
                <w:rFonts w:ascii="Calibri" w:hAnsi="Calibri"/>
                <w:color w:val="222222"/>
                <w:sz w:val="19"/>
              </w:rPr>
              <w:t>Brightness</w:t>
            </w:r>
          </w:p>
        </w:tc>
        <w:tc>
          <w:tcPr>
            <w:tcW w:type="dxa" w:w="3312"/>
            <w:vAlign w:val="center"/>
            <w:shd w:val="clear" w:color="auto" w:fill="F2F4F8"/>
          </w:tcPr>
          <w:p>
            <w:r>
              <w:rPr>
                <w:rFonts w:ascii="Calibri" w:hAnsi="Calibri"/>
                <w:color w:val="222222"/>
                <w:sz w:val="19"/>
              </w:rPr>
              <w:t>Noticeable reduction in brightness and visual impact.</w:t>
            </w:r>
          </w:p>
        </w:tc>
        <w:tc>
          <w:tcPr>
            <w:tcW w:type="dxa" w:w="3312"/>
            <w:vAlign w:val="center"/>
            <w:shd w:val="clear" w:color="auto" w:fill="F2F4F8"/>
          </w:tcPr>
          <w:p>
            <w:r>
              <w:rPr>
                <w:rFonts w:ascii="Calibri" w:hAnsi="Calibri"/>
                <w:color w:val="222222"/>
                <w:sz w:val="19"/>
              </w:rPr>
              <w:t>System may remain functional but no longer performs at the level expected from a modern LED display.</w:t>
            </w:r>
          </w:p>
        </w:tc>
      </w:tr>
      <w:tr>
        <w:tc>
          <w:tcPr>
            <w:tcW w:type="dxa" w:w="3312"/>
            <w:vAlign w:val="center"/>
          </w:tcPr>
          <w:p>
            <w:r>
              <w:rPr>
                <w:rFonts w:ascii="Calibri" w:hAnsi="Calibri"/>
                <w:color w:val="222222"/>
                <w:sz w:val="19"/>
              </w:rPr>
              <w:t>Reliability</w:t>
            </w:r>
          </w:p>
        </w:tc>
        <w:tc>
          <w:tcPr>
            <w:tcW w:type="dxa" w:w="3312"/>
            <w:vAlign w:val="center"/>
          </w:tcPr>
          <w:p>
            <w:r>
              <w:rPr>
                <w:rFonts w:ascii="Calibri" w:hAnsi="Calibri"/>
                <w:color w:val="222222"/>
                <w:sz w:val="19"/>
              </w:rPr>
              <w:t>Multiple power, data, card, cable, and media-converter interventions during one event day.</w:t>
            </w:r>
          </w:p>
        </w:tc>
        <w:tc>
          <w:tcPr>
            <w:tcW w:type="dxa" w:w="3312"/>
            <w:vAlign w:val="center"/>
          </w:tcPr>
          <w:p>
            <w:r>
              <w:rPr>
                <w:rFonts w:ascii="Calibri" w:hAnsi="Calibri"/>
                <w:color w:val="222222"/>
                <w:sz w:val="19"/>
              </w:rPr>
              <w:t>Increasing dependence on corrective maintenance and risk of event-time outages.</w:t>
            </w:r>
          </w:p>
        </w:tc>
      </w:tr>
      <w:tr>
        <w:tc>
          <w:tcPr>
            <w:tcW w:type="dxa" w:w="3312"/>
            <w:vAlign w:val="center"/>
            <w:shd w:val="clear" w:color="auto" w:fill="F2F4F8"/>
          </w:tcPr>
          <w:p>
            <w:r>
              <w:rPr>
                <w:rFonts w:ascii="Calibri" w:hAnsi="Calibri"/>
                <w:color w:val="222222"/>
                <w:sz w:val="19"/>
              </w:rPr>
              <w:t>Parts</w:t>
            </w:r>
          </w:p>
        </w:tc>
        <w:tc>
          <w:tcPr>
            <w:tcW w:type="dxa" w:w="3312"/>
            <w:vAlign w:val="center"/>
            <w:shd w:val="clear" w:color="auto" w:fill="F2F4F8"/>
          </w:tcPr>
          <w:p>
            <w:r>
              <w:rPr>
                <w:rFonts w:ascii="Calibri" w:hAnsi="Calibri"/>
                <w:color w:val="222222"/>
                <w:sz w:val="19"/>
              </w:rPr>
              <w:t>No external source for replacement components; onsite inventory is the only known supply.</w:t>
            </w:r>
          </w:p>
        </w:tc>
        <w:tc>
          <w:tcPr>
            <w:tcW w:type="dxa" w:w="3312"/>
            <w:vAlign w:val="center"/>
            <w:shd w:val="clear" w:color="auto" w:fill="F2F4F8"/>
          </w:tcPr>
          <w:p>
            <w:r>
              <w:rPr>
                <w:rFonts w:ascii="Calibri" w:hAnsi="Calibri"/>
                <w:color w:val="222222"/>
                <w:sz w:val="19"/>
              </w:rPr>
              <w:t>Every repair consumes a finite resource; future failures may become unrepairable.</w:t>
            </w:r>
          </w:p>
        </w:tc>
      </w:tr>
      <w:tr>
        <w:tc>
          <w:tcPr>
            <w:tcW w:type="dxa" w:w="3312"/>
            <w:vAlign w:val="center"/>
          </w:tcPr>
          <w:p>
            <w:r>
              <w:rPr>
                <w:rFonts w:ascii="Calibri" w:hAnsi="Calibri"/>
                <w:color w:val="222222"/>
                <w:sz w:val="19"/>
              </w:rPr>
              <w:t>Processing</w:t>
            </w:r>
          </w:p>
        </w:tc>
        <w:tc>
          <w:tcPr>
            <w:tcW w:type="dxa" w:w="3312"/>
            <w:vAlign w:val="center"/>
          </w:tcPr>
          <w:p>
            <w:r>
              <w:rPr>
                <w:rFonts w:ascii="Calibri" w:hAnsi="Calibri"/>
                <w:color w:val="222222"/>
                <w:sz w:val="19"/>
              </w:rPr>
              <w:t>Samsung/Prismview-specific processing architecture and S-Box ecosystem.</w:t>
            </w:r>
          </w:p>
        </w:tc>
        <w:tc>
          <w:tcPr>
            <w:tcW w:type="dxa" w:w="3312"/>
            <w:vAlign w:val="center"/>
          </w:tcPr>
          <w:p>
            <w:r>
              <w:rPr>
                <w:rFonts w:ascii="Calibri" w:hAnsi="Calibri"/>
                <w:color w:val="222222"/>
                <w:sz w:val="19"/>
              </w:rPr>
              <w:t>Processing hardware, firmware, controllers, and compatibility create additional lifecycle dependencies.</w:t>
            </w:r>
          </w:p>
        </w:tc>
      </w:tr>
      <w:tr>
        <w:tc>
          <w:tcPr>
            <w:tcW w:type="dxa" w:w="3312"/>
            <w:vAlign w:val="center"/>
            <w:shd w:val="clear" w:color="auto" w:fill="F2F4F8"/>
          </w:tcPr>
          <w:p>
            <w:r>
              <w:rPr>
                <w:rFonts w:ascii="Calibri" w:hAnsi="Calibri"/>
                <w:color w:val="222222"/>
                <w:sz w:val="19"/>
              </w:rPr>
              <w:t>System Integration</w:t>
            </w:r>
          </w:p>
        </w:tc>
        <w:tc>
          <w:tcPr>
            <w:tcW w:type="dxa" w:w="3312"/>
            <w:vAlign w:val="center"/>
            <w:shd w:val="clear" w:color="auto" w:fill="F2F4F8"/>
          </w:tcPr>
          <w:p>
            <w:r>
              <w:rPr>
                <w:rFonts w:ascii="Calibri" w:hAnsi="Calibri"/>
                <w:color w:val="222222"/>
                <w:sz w:val="19"/>
              </w:rPr>
              <w:t>Custom 10mm and 16mm displays with dedicated cabinet layouts, power distribution, ventilation, and structural interfaces.</w:t>
            </w:r>
          </w:p>
        </w:tc>
        <w:tc>
          <w:tcPr>
            <w:tcW w:type="dxa" w:w="3312"/>
            <w:vAlign w:val="center"/>
            <w:shd w:val="clear" w:color="auto" w:fill="F2F4F8"/>
          </w:tcPr>
          <w:p>
            <w:r>
              <w:rPr>
                <w:rFonts w:ascii="Calibri" w:hAnsi="Calibri"/>
                <w:color w:val="222222"/>
                <w:sz w:val="19"/>
              </w:rPr>
              <w:t>Replacement requires systems-level planning rather than simple module substitution.</w:t>
            </w:r>
          </w:p>
        </w:tc>
      </w:tr>
    </w:tbl>
    <w:p>
      <w:pPr>
        <w:spacing w:after="120"/>
      </w:pPr>
      <w:r>
        <w:t>These factors reinforce one another. An aging system with readily available replacement parts can often remain economically supportable. A dim system can remain viable if it is otherwise reliable and supported. An obsolete system can remain viable if failures are rare and sufficient spares are available. The current system is experiencing all of these conditions simultaneously.</w:t>
      </w:r>
    </w:p>
    <w:p>
      <w:pPr>
        <w:pStyle w:val="Heading1"/>
        <w:spacing w:before="280" w:after="120"/>
      </w:pPr>
      <w:r>
        <w:rPr>
          <w:rFonts w:ascii="Calibri" w:hAnsi="Calibri"/>
          <w:b/>
          <w:color w:val="0A1F44"/>
          <w:sz w:val="28"/>
        </w:rPr>
        <w:t>11. Replacement Recommendation</w:t>
      </w:r>
    </w:p>
    <w:p>
      <w:pPr>
        <w:spacing w:after="120"/>
      </w:pPr>
      <w:r>
        <w:t>Based on the observed condition, maintenance history, inventory limitations, as-built documentation, and Samsung's published lifecycle guidance, continued operation of the existing Samsung video board system should be considered a short-term maintenance strategy rather than a long-term solution.</w:t>
      </w:r>
    </w:p>
    <w:p>
      <w:pPr>
        <w:spacing w:after="120"/>
      </w:pPr>
      <w:r>
        <w:t>The existing spare inventory should continue to be used strategically to maintain operational availability while a replacement program is planned and implemented. However, relying on the inventory indefinitely is not recommended because there is no reliable mechanism for replenishing the components once they are consumed.</w:t>
      </w:r>
    </w:p>
    <w:p>
      <w:pPr>
        <w:pStyle w:val="ListBullet"/>
        <w:spacing w:after="40"/>
      </w:pPr>
      <w:r>
        <w:t>Restore and improve display brightness and visual performance</w:t>
      </w:r>
    </w:p>
    <w:p>
      <w:pPr>
        <w:pStyle w:val="ListBullet"/>
        <w:spacing w:after="40"/>
      </w:pPr>
      <w:r>
        <w:t>Reduce recurring corrective maintenance</w:t>
      </w:r>
    </w:p>
    <w:p>
      <w:pPr>
        <w:pStyle w:val="ListBullet"/>
        <w:spacing w:after="40"/>
      </w:pPr>
      <w:r>
        <w:t>Reduce dependence on obsolete components and legacy processing equipment</w:t>
      </w:r>
    </w:p>
    <w:p>
      <w:pPr>
        <w:pStyle w:val="ListBullet"/>
        <w:spacing w:after="40"/>
      </w:pPr>
      <w:r>
        <w:t>Eliminate the increasing risk associated with unavailable replacement parts</w:t>
      </w:r>
    </w:p>
    <w:p>
      <w:pPr>
        <w:pStyle w:val="ListBullet"/>
        <w:spacing w:after="40"/>
      </w:pPr>
      <w:r>
        <w:t>Improve reliability during events</w:t>
      </w:r>
    </w:p>
    <w:p>
      <w:pPr>
        <w:pStyle w:val="ListBullet"/>
        <w:spacing w:after="40"/>
      </w:pPr>
      <w:r>
        <w:t>Reduce the likelihood of an unplanned display outage</w:t>
      </w:r>
    </w:p>
    <w:p>
      <w:pPr>
        <w:pStyle w:val="ListBullet"/>
        <w:spacing w:after="40"/>
      </w:pPr>
      <w:r>
        <w:t>Establish a current manufacturer-supported processing and control platform</w:t>
      </w:r>
    </w:p>
    <w:p>
      <w:pPr>
        <w:pStyle w:val="ListBullet"/>
        <w:spacing w:after="40"/>
      </w:pPr>
      <w:r>
        <w:t>Provide a predictable lifecycle and parts-support strategy going forward</w:t>
      </w:r>
    </w:p>
    <w:p>
      <w:pPr>
        <w:pStyle w:val="ListBullet"/>
        <w:spacing w:after="40"/>
      </w:pPr>
      <w:r>
        <w:t>Preserve the ability to perform a controlled replacement before an emergency failure forces the decision</w:t>
      </w:r>
    </w:p>
    <w:p>
      <w:pPr>
        <w:spacing w:after="120"/>
      </w:pPr>
      <w:r>
        <w:t>The objective should not be to wait until the existing Samsung systems become completely nonfunctional. By that point, the facility would be exposed to emergency replacement decisions, limited procurement options, and potentially prolonged outages.</w:t>
      </w:r>
    </w:p>
    <w:p>
      <w:pPr>
        <w:spacing w:after="120"/>
      </w:pPr>
      <w:r>
        <w:t>The current condition represents an appropriate point for planned capital replacement while the existing system remains sufficiently operational to support a controlled transition.</w:t>
      </w:r>
    </w:p>
    <w:p>
      <w:pPr>
        <w:pStyle w:val="Heading1"/>
        <w:spacing w:before="280" w:after="120"/>
      </w:pPr>
      <w:r>
        <w:rPr>
          <w:rFonts w:ascii="Calibri" w:hAnsi="Calibri"/>
          <w:b/>
          <w:color w:val="0A1F44"/>
          <w:sz w:val="28"/>
        </w:rPr>
        <w:t>12. Conclusion</w:t>
      </w:r>
    </w:p>
    <w:p>
      <w:pPr>
        <w:spacing w:after="120"/>
      </w:pPr>
      <w:r>
        <w:t>The Samsung LED video boards installed in 2018 have provided approximately eight years of service and are now exhibiting multiple characteristics associated with an aging display system: diminished brightness, recurring hardware failures, increasing maintenance intervention, component obsolescence, and a shrinking ability to source compatible replacement parts.</w:t>
      </w:r>
    </w:p>
    <w:p>
      <w:pPr>
        <w:spacing w:after="120"/>
      </w:pPr>
      <w:r>
        <w:t>The as-built drawings show that the original installation is a large, custom-engineered Prismview/Samsung system consisting of multiple display formats and resolutions, custom cabinet layouts, distributed power, dedicated thermal management, and integrated structural interfaces. The drawings also reinforce that the installed displays are not generic LED panels that can simply be replaced one module at a time without considering the broader system architecture.</w:t>
      </w:r>
    </w:p>
    <w:p>
      <w:pPr>
        <w:spacing w:after="120"/>
      </w:pPr>
      <w:r>
        <w:t>The Samsung S-Box and associated processing/control ecosystem add another important lifecycle dependency. Because the processing layer is part of the Samsung-specific LED architecture, maintaining physical LED modules alone does not guarantee long-term system supportability. A replacement program should therefore address the complete display and processing platform.</w:t>
      </w:r>
    </w:p>
    <w:p>
      <w:pPr>
        <w:spacing w:after="120"/>
      </w:pPr>
      <w:r>
        <w:t>The most significant concern remains the lack of commercially available replacement parts. The remaining onsite inventory is effectively the final maintenance resource for the existing Samsung system. As failures continue and components are consumed, that inventory will progressively decline without the ability to replenish it.</w:t>
      </w:r>
    </w:p>
    <w:p>
      <w:pPr>
        <w:spacing w:after="120"/>
      </w:pPr>
      <w:r>
        <w:t>The recent maintenance history demonstrates that the reliability concern is already active rather than theoretical. Multiple display systems required power cycling, cable replacement, card replacement, and other hands-on intervention during a single event.</w:t>
      </w:r>
    </w:p>
    <w:p>
      <w:pPr>
        <w:spacing w:after="120"/>
      </w:pPr>
      <w:r>
        <w:t>The combination of eight years of service, declining brightness, recurring failures, increased maintenance requirements, finite non-replenishable spare-parts inventory, custom system integration, and legacy Samsung processing dependencies indicates that the system has reached an advanced stage of its practical service life.</w:t>
      </w:r>
    </w:p>
    <w:p>
      <w:r>
        <w:rPr>
          <w:b/>
        </w:rPr>
        <w:t xml:space="preserve">Recommendation: </w:t>
      </w:r>
      <w:r>
        <w:t>Proceed with proactive replacement planning for the Samsung video board systems and use the remaining spare inventory as a temporary bridge during the transition. Replacement should occur before critical spare parts are exhausted and before a routine component failure becomes an unrepairable display outage.</w:t>
      </w:r>
    </w:p>
    <w:p>
      <w:r>
        <w:rPr>
          <w:rFonts w:ascii="Calibri" w:hAnsi="Calibri"/>
          <w:b/>
          <w:color w:val="E31837"/>
          <w:sz w:val="24"/>
        </w:rPr>
        <w:t>Spare-percentage methodology: The current as-built drawings are used only to establish the installed display/module/section basis. No spare percentage is presented where the drawings do not identify a corresponding spare quantity.</w:t>
      </w:r>
    </w:p>
    <w:p>
      <w:pPr>
        <w:pStyle w:val="Heading1"/>
      </w:pPr>
      <w:r>
        <w:rPr>
          <w:rFonts w:ascii="Calibri" w:hAnsi="Calibri"/>
          <w:b/>
          <w:color w:val="E31837"/>
          <w:sz w:val="24"/>
        </w:rPr>
        <w:t>Appendix A – As-Built Drawing Documentation Reviewed</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val="clear" w:color="auto" w:fill="0A1F44"/>
          </w:tcPr>
          <w:p>
            <w:r>
              <w:rPr>
                <w:rFonts w:ascii="Calibri" w:hAnsi="Calibri"/>
                <w:b/>
                <w:color w:val="FFFFFF"/>
                <w:sz w:val="20"/>
              </w:rPr>
              <w:t>Document / Drawing Evidence</w:t>
            </w:r>
          </w:p>
        </w:tc>
        <w:tc>
          <w:tcPr>
            <w:tcW w:type="dxa" w:w="4968"/>
            <w:vAlign w:val="center"/>
            <w:shd w:val="clear" w:color="auto" w:fill="0A1F44"/>
          </w:tcPr>
          <w:p>
            <w:r>
              <w:rPr>
                <w:rFonts w:ascii="Calibri" w:hAnsi="Calibri"/>
                <w:b/>
                <w:color w:val="FFFFFF"/>
                <w:sz w:val="20"/>
              </w:rPr>
              <w:t>Relevant Information</w:t>
            </w:r>
          </w:p>
        </w:tc>
      </w:tr>
      <w:tr>
        <w:tc>
          <w:tcPr>
            <w:tcW w:type="dxa" w:w="4968"/>
            <w:vAlign w:val="center"/>
          </w:tcPr>
          <w:p>
            <w:r>
              <w:rPr>
                <w:rFonts w:ascii="Calibri" w:hAnsi="Calibri"/>
                <w:color w:val="222222"/>
                <w:sz w:val="19"/>
              </w:rPr>
              <w:t>116310-016-0 LED Display Hardware – As-Built</w:t>
            </w:r>
          </w:p>
        </w:tc>
        <w:tc>
          <w:tcPr>
            <w:tcW w:type="dxa" w:w="4968"/>
            <w:vAlign w:val="center"/>
          </w:tcPr>
          <w:p>
            <w:r>
              <w:rPr>
                <w:rFonts w:ascii="Calibri" w:hAnsi="Calibri"/>
                <w:color w:val="222222"/>
                <w:sz w:val="19"/>
              </w:rPr>
              <w:t>As-built package for M&amp;T Bank Stadium Improvements – Phase 1; identifies Prismview, a Samsung Electronics company, as display manufacturer.</w:t>
            </w:r>
          </w:p>
        </w:tc>
      </w:tr>
      <w:tr>
        <w:tc>
          <w:tcPr>
            <w:tcW w:type="dxa" w:w="4968"/>
            <w:vAlign w:val="center"/>
            <w:shd w:val="clear" w:color="auto" w:fill="F2F4F8"/>
          </w:tcPr>
          <w:p>
            <w:r>
              <w:rPr>
                <w:rFonts w:ascii="Calibri" w:hAnsi="Calibri"/>
                <w:color w:val="222222"/>
                <w:sz w:val="19"/>
              </w:rPr>
              <w:t>End Zone custom build drawings</w:t>
            </w:r>
          </w:p>
        </w:tc>
        <w:tc>
          <w:tcPr>
            <w:tcW w:type="dxa" w:w="4968"/>
            <w:vAlign w:val="center"/>
            <w:shd w:val="clear" w:color="auto" w:fill="F2F4F8"/>
          </w:tcPr>
          <w:p>
            <w:r>
              <w:rPr>
                <w:rFonts w:ascii="Calibri" w:hAnsi="Calibri"/>
                <w:color w:val="222222"/>
                <w:sz w:val="19"/>
              </w:rPr>
              <w:t>10mm custom build, 5,920 × 1,056 format; 50 sections per face; two faces; approximately 76,500 lb estimated weight; dedicated ventilation with large exhaust and circulation fans.</w:t>
            </w:r>
          </w:p>
        </w:tc>
      </w:tr>
      <w:tr>
        <w:tc>
          <w:tcPr>
            <w:tcW w:type="dxa" w:w="4968"/>
            <w:vAlign w:val="center"/>
          </w:tcPr>
          <w:p>
            <w:r>
              <w:rPr>
                <w:rFonts w:ascii="Calibri" w:hAnsi="Calibri"/>
                <w:color w:val="222222"/>
                <w:sz w:val="19"/>
              </w:rPr>
              <w:t>Upper Fascia drawings</w:t>
            </w:r>
          </w:p>
        </w:tc>
        <w:tc>
          <w:tcPr>
            <w:tcW w:type="dxa" w:w="4968"/>
            <w:vAlign w:val="center"/>
          </w:tcPr>
          <w:p>
            <w:r>
              <w:rPr>
                <w:rFonts w:ascii="Calibri" w:hAnsi="Calibri"/>
                <w:color w:val="222222"/>
                <w:sz w:val="19"/>
              </w:rPr>
              <w:t>16mm, 9,424 × 64; 74 sections per face; two faces; 74 fans per face; F-100 fan type.</w:t>
            </w:r>
          </w:p>
        </w:tc>
      </w:tr>
      <w:tr>
        <w:tc>
          <w:tcPr>
            <w:tcW w:type="dxa" w:w="4968"/>
            <w:vAlign w:val="center"/>
            <w:shd w:val="clear" w:color="auto" w:fill="F2F4F8"/>
          </w:tcPr>
          <w:p>
            <w:r>
              <w:rPr>
                <w:rFonts w:ascii="Calibri" w:hAnsi="Calibri"/>
                <w:color w:val="222222"/>
                <w:sz w:val="19"/>
              </w:rPr>
              <w:t>Lower North Fascia drawings</w:t>
            </w:r>
          </w:p>
        </w:tc>
        <w:tc>
          <w:tcPr>
            <w:tcW w:type="dxa" w:w="4968"/>
            <w:vAlign w:val="center"/>
            <w:shd w:val="clear" w:color="auto" w:fill="F2F4F8"/>
          </w:tcPr>
          <w:p>
            <w:r>
              <w:rPr>
                <w:rFonts w:ascii="Calibri" w:hAnsi="Calibri"/>
                <w:color w:val="222222"/>
                <w:sz w:val="19"/>
              </w:rPr>
              <w:t>16mm, 12,528 × 64; 113 sections; one face; 97 fans; 783 modules / 12,528 pixels identified in component layout.</w:t>
            </w:r>
          </w:p>
        </w:tc>
      </w:tr>
      <w:tr>
        <w:tc>
          <w:tcPr>
            <w:tcW w:type="dxa" w:w="4968"/>
            <w:vAlign w:val="center"/>
          </w:tcPr>
          <w:p>
            <w:r>
              <w:rPr>
                <w:rFonts w:ascii="Calibri" w:hAnsi="Calibri"/>
                <w:color w:val="222222"/>
                <w:sz w:val="19"/>
              </w:rPr>
              <w:t>Lower South Fascia drawings</w:t>
            </w:r>
          </w:p>
        </w:tc>
        <w:tc>
          <w:tcPr>
            <w:tcW w:type="dxa" w:w="4968"/>
            <w:vAlign w:val="center"/>
          </w:tcPr>
          <w:p>
            <w:r>
              <w:rPr>
                <w:rFonts w:ascii="Calibri" w:hAnsi="Calibri"/>
                <w:color w:val="222222"/>
                <w:sz w:val="19"/>
              </w:rPr>
              <w:t>16mm, 11,760 × 64; 93 sections; one face; 95 fans; 735 modules / 11,760 pixels identified in component layout.</w:t>
            </w:r>
          </w:p>
        </w:tc>
      </w:tr>
      <w:tr>
        <w:tc>
          <w:tcPr>
            <w:tcW w:type="dxa" w:w="4968"/>
            <w:vAlign w:val="center"/>
            <w:shd w:val="clear" w:color="auto" w:fill="F2F4F8"/>
          </w:tcPr>
          <w:p>
            <w:r>
              <w:rPr>
                <w:rFonts w:ascii="Calibri" w:hAnsi="Calibri"/>
                <w:color w:val="222222"/>
                <w:sz w:val="19"/>
              </w:rPr>
              <w:t>End Zone speaker bracket drawings</w:t>
            </w:r>
          </w:p>
        </w:tc>
        <w:tc>
          <w:tcPr>
            <w:tcW w:type="dxa" w:w="4968"/>
            <w:vAlign w:val="center"/>
            <w:shd w:val="clear" w:color="auto" w:fill="F2F4F8"/>
          </w:tcPr>
          <w:p>
            <w:r>
              <w:rPr>
                <w:rFonts w:ascii="Calibri" w:hAnsi="Calibri"/>
                <w:color w:val="222222"/>
                <w:sz w:val="19"/>
              </w:rPr>
              <w:t>Custom speaker mounting integrated around the End Zone display assemblies; drawings note that no loads may be applied to the LED display.</w:t>
            </w:r>
          </w:p>
        </w:tc>
      </w:tr>
      <w:tr>
        <w:tc>
          <w:tcPr>
            <w:tcW w:type="dxa" w:w="4968"/>
            <w:vAlign w:val="center"/>
          </w:tcPr>
          <w:p>
            <w:r>
              <w:rPr>
                <w:rFonts w:ascii="Calibri" w:hAnsi="Calibri"/>
                <w:color w:val="222222"/>
                <w:sz w:val="19"/>
              </w:rPr>
              <w:t>Video Board Replacement Package drawings</w:t>
            </w:r>
          </w:p>
        </w:tc>
        <w:tc>
          <w:tcPr>
            <w:tcW w:type="dxa" w:w="4968"/>
            <w:vAlign w:val="center"/>
          </w:tcPr>
          <w:p>
            <w:r>
              <w:rPr>
                <w:rFonts w:ascii="Calibri" w:hAnsi="Calibri"/>
                <w:color w:val="222222"/>
                <w:sz w:val="19"/>
              </w:rPr>
              <w:t>Original project documentation identifies the video board replacement scope, AV consultant WJHW, Populous, Thornton Tomasetti, ME Engineers, and associated design coordination.</w:t>
            </w:r>
          </w:p>
        </w:tc>
      </w:tr>
    </w:tbl>
    <w:p>
      <w:pPr>
        <w:spacing w:after="120"/>
      </w:pPr>
      <w:r>
        <w:t>The drawing package contains additional cabinet numbering, power-entry, expansion-joint, ventilation, mounting, and component-layout information. These documents should be retained as part of the replacement design record and used during field verification.</w:t>
      </w:r>
    </w:p>
    <w:p>
      <w:pPr>
        <w:pStyle w:val="Heading1"/>
      </w:pPr>
      <w:r>
        <w:rPr>
          <w:rFonts w:ascii="Calibri" w:hAnsi="Calibri"/>
          <w:b/>
          <w:color w:val="E31837"/>
          <w:sz w:val="24"/>
        </w:rPr>
        <w:t>Appendix B – Manufacturer References</w:t>
      </w:r>
    </w:p>
    <w:p>
      <w:pPr>
        <w:spacing w:after="120"/>
      </w:pPr>
      <w:r>
        <w:t>Samsung Business – 'Is it time to upgrade your LED displays?' Samsung discusses display aging, the typical seven-to-ten-year average display lifespan, and parts obsolescence as a consideration in determining when to upgrade.</w:t>
      </w:r>
    </w:p>
    <w:p>
      <w:pPr>
        <w:spacing w:after="120"/>
      </w:pPr>
      <w:r>
        <w:t>Samsung Business Insights – 'The Truth About LED Lifespan and the Longevity of Your Display.' Samsung explains the distinction between LED diode lifetime and complete display/system lifetime and discusses brightness degradation and other component lifecycles.</w:t>
      </w:r>
    </w:p>
    <w:p>
      <w:pPr>
        <w:spacing w:after="120"/>
      </w:pPr>
      <w:r>
        <w:t>Samsung Business – LED S-Box documentation. Samsung describes the S-Box as a centralized LED content-delivery and processing device and documents features including LED HDR, dynamic peaking, inverse tone mapping, and color mapping.</w:t>
      </w:r>
    </w:p>
    <w:p>
      <w:pPr>
        <w:spacing w:after="120"/>
      </w:pPr>
      <w:r>
        <w:t>Samsung LED S-Box installation documentation also identifies device-level information such as LED cabinet connection status, cabinet counts, serial numbers, and firmware/version information, illustrating the processing platform's role in system configuration and service.</w:t>
      </w:r>
    </w:p>
    <w:p>
      <w:pPr>
        <w:ind w:left="288"/>
      </w:pPr>
      <w:r>
        <w:rPr>
          <w:sz w:val="18"/>
        </w:rPr>
        <w:t>Samsung: Is it time to upgrade your LED displays?: https://insights.samsung.com/2021/09/29/is-it-time-to-upgrade-your-led-displays/</w:t>
      </w:r>
    </w:p>
    <w:p>
      <w:pPr>
        <w:ind w:left="288"/>
      </w:pPr>
      <w:r>
        <w:rPr>
          <w:sz w:val="18"/>
        </w:rPr>
        <w:t>Samsung: The Truth About LED Lifespan and the Longevity of Your Display: https://insights.samsung.com/2022/05/23/the-truth-about-led-lifespan-and-the-longevity-of-your-display/</w:t>
      </w:r>
    </w:p>
    <w:p>
      <w:pPr>
        <w:ind w:left="288"/>
      </w:pPr>
      <w:r>
        <w:rPr>
          <w:sz w:val="18"/>
        </w:rPr>
        <w:t>Samsung: LED S-Box: https://www.samsung.com/sg/business/display-accessories/led-s-box-sbb-snowjmu-en/</w:t>
      </w:r>
    </w:p>
    <w:p/>
    <w:p>
      <w:r>
        <w:rPr>
          <w:b/>
        </w:rPr>
        <w:t xml:space="preserve">Source note: </w:t>
      </w:r>
      <w:r>
        <w:t>This assessment incorporates the supplied 116310-016-0 as-built drawing package, the supplied Samsung display inventory, the supplied maintenance activity record, and Samsung-published product/lifecycle information. Exact installed S-Box model identification should be field-verified from the existing equipment racks before final replacement specifications are issued.</w:t>
      </w:r>
    </w:p>
    <w:sectPr w:rsidR="00FC693F" w:rsidRPr="0006063C" w:rsidSect="00034616">
      <w:footerReference w:type="default" r:id="rId9"/>
      <w:head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444444"/>
        <w:sz w:val="16"/>
      </w:rPr>
      <w:t>ANC Sports  •  Confidential</w:t>
    </w:r>
    <w:r>
      <w:rPr>
        <w:rFonts w:ascii="Calibri" w:hAnsi="Calibri"/>
        <w:color w:val="444444"/>
        <w:sz w:val="16"/>
      </w:rPr>
      <w:t xml:space="preserve">   |   Page </w:t>
    </w:r>
    <w:r>
      <w:rPr>
        <w:rFonts w:ascii="Calibri" w:hAnsi="Calibri"/>
        <w:color w:val="444444"/>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Calibri" w:hAnsi="Calibri"/>
        <w:b/>
        <w:color w:val="E31837"/>
        <w:sz w:val="32"/>
      </w:rPr>
      <w:t>ANC</w:t>
    </w:r>
    <w:r>
      <w:rPr>
        <w:rFonts w:ascii="Calibri" w:hAnsi="Calibri"/>
        <w:color w:val="444444"/>
        <w:sz w:val="18"/>
      </w:rPr>
      <w:t xml:space="preserve">  |  LED Display Systems Assessment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