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Twsela Business Model</w:t>
      </w:r>
    </w:p>
    <w:p>
      <w:pPr>
        <w:pStyle w:val="Heading2"/>
        <w:spacing w:lineRule="auto"/>
      </w:pPr>
      <w:r>
        <w:rPr/>
        <w:t xml:space="preserve">Executive Summary</w:t>
      </w:r>
    </w:p>
    <w:p>
      <w:pPr>
        <w:spacing w:lineRule="auto"/>
      </w:pPr>
      <w:r>
        <w:rPr/>
        <w:t xml:space="preserve">Twsela is a role-based courier management platform designed for merchants and logistics operators in MENA, providing end-to-end shipment lifecycle management from order creation to proof-of-delivery. The system includes a Spring Boot backend and a modular vanilla JavaScript frontend with role-specific dashboards for Owners, Admins, Merchants, Couriers, and Warehouse users. Twsela differentiates by offering Arabic-first UX (RTL), strong security practices, operational analytics, and integrations with SMS, payment gateways, and Google Maps for dynamic zone-based pricing and routing assistance.</w:t>
      </w:r>
    </w:p>
    <w:p>
      <w:pPr>
        <w:spacing w:lineRule="auto"/>
      </w:pPr>
      <w:r>
        <w:rPr/>
        <w:t xml:space="preserve">Primary business outcomes:</w:t>
      </w:r>
    </w:p>
    <w:p>
      <w:pPr>
        <w:numPr>
          <w:ilvl w:val="0"/>
          <w:numId w:val="1"/>
        </w:numPr>
        <w:spacing w:lineRule="auto"/>
      </w:pPr>
      <w:r>
        <w:rPr/>
        <w:t xml:space="preserve">Reduce time-to-fulfillment and last-mile costs for SMEs and mid-market merchants.</w:t>
      </w:r>
    </w:p>
    <w:p>
      <w:pPr>
        <w:numPr>
          <w:ilvl w:val="0"/>
          <w:numId w:val="1"/>
        </w:numPr>
        <w:spacing w:lineRule="auto"/>
      </w:pPr>
      <w:r>
        <w:rPr/>
        <w:t xml:space="preserve">Increase delivery reliability and transparency through real-time tracking and operational KPIs.</w:t>
      </w:r>
    </w:p>
    <w:p>
      <w:pPr>
        <w:numPr>
          <w:ilvl w:val="0"/>
          <w:numId w:val="1"/>
        </w:numPr>
        <w:spacing w:lineRule="auto"/>
      </w:pPr>
      <w:r>
        <w:rPr/>
        <w:t xml:space="preserve">Accelerate merchant onboarding with a self-serve model and partner-enabled distribution.</w:t>
      </w:r>
    </w:p>
    <w:p>
      <w:pPr>
        <w:spacing w:lineRule="auto"/>
      </w:pPr>
      <w:r>
        <w:rPr/>
        <w:t xml:space="preserve">The commercial model is SaaS with tiered subscriptions plus usage-based fees per shipment and value-added services (SMS, advanced analytics, premium support).</w:t>
      </w:r>
    </w:p>
    <w:p>
      <w:pPr>
        <w:pStyle w:val="Heading2"/>
        <w:spacing w:lineRule="auto"/>
      </w:pPr>
      <w:r>
        <w:rPr/>
        <w:t xml:space="preserve">Problem Statement</w:t>
      </w:r>
    </w:p>
    <w:p>
      <w:pPr>
        <w:spacing w:lineRule="auto"/>
      </w:pPr>
      <w:r>
        <w:rPr/>
        <w:t xml:space="preserve">SMEs and regional logistics providers face fragmented workflows across order intake, courier assignment, zone-based pricing, and proof-of-delivery. This results in:</w:t>
      </w:r>
    </w:p>
    <w:p>
      <w:pPr>
        <w:numPr>
          <w:ilvl w:val="0"/>
          <w:numId w:val="2"/>
        </w:numPr>
        <w:spacing w:lineRule="auto"/>
      </w:pPr>
      <w:r>
        <w:rPr/>
        <w:t xml:space="preserve">Inefficient routing and courier utilization</w:t>
      </w:r>
    </w:p>
    <w:p>
      <w:pPr>
        <w:numPr>
          <w:ilvl w:val="0"/>
          <w:numId w:val="2"/>
        </w:numPr>
        <w:spacing w:lineRule="auto"/>
      </w:pPr>
      <w:r>
        <w:rPr/>
        <w:t xml:space="preserve">High manual overhead in scheduling and manifest generation</w:t>
      </w:r>
    </w:p>
    <w:p>
      <w:pPr>
        <w:numPr>
          <w:ilvl w:val="0"/>
          <w:numId w:val="2"/>
        </w:numPr>
        <w:spacing w:lineRule="auto"/>
      </w:pPr>
      <w:r>
        <w:rPr/>
        <w:t xml:space="preserve">Poor visibility into shipment status and SLAs</w:t>
      </w:r>
    </w:p>
    <w:p>
      <w:pPr>
        <w:numPr>
          <w:ilvl w:val="0"/>
          <w:numId w:val="2"/>
        </w:numPr>
        <w:spacing w:lineRule="auto"/>
      </w:pPr>
      <w:r>
        <w:rPr/>
        <w:t xml:space="preserve">Weak Arabic localization and lack of role-appropriate dashboards</w:t>
      </w:r>
    </w:p>
    <w:p>
      <w:pPr>
        <w:numPr>
          <w:ilvl w:val="0"/>
          <w:numId w:val="2"/>
        </w:numPr>
        <w:spacing w:lineRule="auto"/>
      </w:pPr>
      <w:r>
        <w:rPr/>
        <w:t xml:space="preserve">Disconnected systems for payments, communications (SMS), and monitoring</w:t>
      </w:r>
    </w:p>
    <w:p>
      <w:pPr>
        <w:pStyle w:val="Heading2"/>
        <w:spacing w:lineRule="auto"/>
      </w:pPr>
      <w:r>
        <w:rPr/>
        <w:t xml:space="preserve">Solution Overview</w:t>
      </w:r>
    </w:p>
    <w:p>
      <w:pPr>
        <w:spacing w:lineRule="auto"/>
      </w:pPr>
      <w:r>
        <w:rPr/>
        <w:t xml:space="preserve">Twsela delivers:</w:t>
      </w:r>
    </w:p>
    <w:p>
      <w:pPr>
        <w:numPr>
          <w:ilvl w:val="0"/>
          <w:numId w:val="3"/>
        </w:numPr>
        <w:spacing w:lineRule="auto"/>
      </w:pPr>
      <w:r>
        <w:rPr/>
        <w:t xml:space="preserve">Role-specific dashboards: Owner/Admin control planes; Merchant creation and tracking; Courier manifest and tasking; Warehouse intake/dispatch.</w:t>
      </w:r>
    </w:p>
    <w:p>
      <w:pPr>
        <w:numPr>
          <w:ilvl w:val="0"/>
          <w:numId w:val="3"/>
        </w:numPr>
        <w:spacing w:lineRule="auto"/>
      </w:pPr>
      <w:r>
        <w:rPr/>
        <w:t xml:space="preserve">Shipment lifecycle automation: CREATED → PICKED_UP → IN_TRANSIT → DELIVERED with event-driven updates.</w:t>
      </w:r>
    </w:p>
    <w:p>
      <w:pPr>
        <w:numPr>
          <w:ilvl w:val="0"/>
          <w:numId w:val="3"/>
        </w:numPr>
        <w:spacing w:lineRule="auto"/>
      </w:pPr>
      <w:r>
        <w:rPr/>
        <w:t xml:space="preserve">Zone-based pricing, courier assignment, and manifest generation for delivery optimization.</w:t>
      </w:r>
    </w:p>
    <w:p>
      <w:pPr>
        <w:numPr>
          <w:ilvl w:val="0"/>
          <w:numId w:val="3"/>
        </w:numPr>
        <w:spacing w:lineRule="auto"/>
      </w:pPr>
      <w:r>
        <w:rPr/>
        <w:t xml:space="preserve">Integrations: Twilio SMS, payment gateway(s), Google Maps, Redis caching, Prometheus/Grafana monitoring, Nginx reverse proxy.</w:t>
      </w:r>
    </w:p>
    <w:p>
      <w:pPr>
        <w:numPr>
          <w:ilvl w:val="0"/>
          <w:numId w:val="3"/>
        </w:numPr>
        <w:spacing w:lineRule="auto"/>
      </w:pPr>
      <w:r>
        <w:rPr/>
        <w:t xml:space="preserve">Security by default: JWT auth, RBAC, BCrypt, CSRF protection, TLS/SSL.</w:t>
      </w:r>
    </w:p>
    <w:p>
      <w:pPr>
        <w:numPr>
          <w:ilvl w:val="0"/>
          <w:numId w:val="3"/>
        </w:numPr>
        <w:spacing w:lineRule="auto"/>
      </w:pPr>
      <w:r>
        <w:rPr/>
        <w:t xml:space="preserve">Arabic-first UX with RTL and Noto Sans Arabic.</w:t>
      </w:r>
    </w:p>
    <w:p>
      <w:pPr>
        <w:pStyle w:val="Heading2"/>
        <w:spacing w:lineRule="auto"/>
      </w:pPr>
      <w:r>
        <w:rPr/>
        <w:t xml:space="preserve">Market Analysis</w:t>
      </w:r>
    </w:p>
    <w:p>
      <w:pPr>
        <w:spacing w:lineRule="auto"/>
      </w:pPr>
      <w:r>
        <w:rPr/>
        <w:t xml:space="preserve">Target geography: MENA with initial focus on GCC and North Africa. Secondary expansion to broader emerging markets with similar logistics constraints and Arabic language needs.</w:t>
      </w:r>
    </w:p>
    <w:p>
      <w:pPr>
        <w:spacing w:lineRule="auto"/>
      </w:pPr>
      <w:r>
        <w:rPr/>
        <w:t xml:space="preserve">Target customers:</w:t>
      </w:r>
    </w:p>
    <w:p>
      <w:pPr>
        <w:numPr>
          <w:ilvl w:val="0"/>
          <w:numId w:val="4"/>
        </w:numPr>
        <w:spacing w:lineRule="auto"/>
      </w:pPr>
      <w:r>
        <w:rPr/>
        <w:t xml:space="preserve">SMEs and mid-market merchants running e-commerce or D2C delivery operations</w:t>
      </w:r>
    </w:p>
    <w:p>
      <w:pPr>
        <w:numPr>
          <w:ilvl w:val="0"/>
          <w:numId w:val="4"/>
        </w:numPr>
        <w:spacing w:lineRule="auto"/>
      </w:pPr>
      <w:r>
        <w:rPr/>
        <w:t xml:space="preserve">Regional courier/logistics companies modernizing last-mile operations</w:t>
      </w:r>
    </w:p>
    <w:p>
      <w:pPr>
        <w:numPr>
          <w:ilvl w:val="0"/>
          <w:numId w:val="4"/>
        </w:numPr>
        <w:spacing w:lineRule="auto"/>
      </w:pPr>
      <w:r>
        <w:rPr/>
        <w:t xml:space="preserve">Marketplaces and fulfillment centers needing role-based operations</w:t>
      </w:r>
    </w:p>
    <w:p>
      <w:pPr>
        <w:spacing w:lineRule="auto"/>
      </w:pPr>
      <w:r>
        <w:rPr/>
        <w:t xml:space="preserve">Market drivers:</w:t>
      </w:r>
    </w:p>
    <w:p>
      <w:pPr>
        <w:numPr>
          <w:ilvl w:val="0"/>
          <w:numId w:val="5"/>
        </w:numPr>
        <w:spacing w:lineRule="auto"/>
      </w:pPr>
      <w:r>
        <w:rPr/>
        <w:t xml:space="preserve">E-commerce growth in MENA and increased expectations for fast, trackable deliveries</w:t>
      </w:r>
    </w:p>
    <w:p>
      <w:pPr>
        <w:numPr>
          <w:ilvl w:val="0"/>
          <w:numId w:val="5"/>
        </w:numPr>
        <w:spacing w:lineRule="auto"/>
      </w:pPr>
      <w:r>
        <w:rPr/>
        <w:t xml:space="preserve">Need for operational analytics and compliance-ready systems</w:t>
      </w:r>
    </w:p>
    <w:p>
      <w:pPr>
        <w:numPr>
          <w:ilvl w:val="0"/>
          <w:numId w:val="5"/>
        </w:numPr>
        <w:spacing w:lineRule="auto"/>
      </w:pPr>
      <w:r>
        <w:rPr/>
        <w:t xml:space="preserve">Localization gaps in Western-focused tooling</w:t>
      </w:r>
    </w:p>
    <w:p>
      <w:pPr>
        <w:spacing w:lineRule="auto"/>
      </w:pPr>
      <w:r>
        <w:rPr/>
        <w:t xml:space="preserve">Market sizing approach (to be validated):</w:t>
      </w:r>
    </w:p>
    <w:p>
      <w:pPr>
        <w:numPr>
          <w:ilvl w:val="0"/>
          <w:numId w:val="6"/>
        </w:numPr>
        <w:spacing w:lineRule="auto"/>
      </w:pPr>
      <w:r>
        <w:rPr/>
        <w:t xml:space="preserve">TAM/SAM/SOM estimated via a bottoms-up model combining:</w:t>
      </w:r>
    </w:p>
    <w:p>
      <w:pPr>
        <w:numPr>
          <w:ilvl w:val="1"/>
          <w:numId w:val="7"/>
        </w:numPr>
        <w:spacing w:lineRule="auto"/>
      </w:pPr>
      <w:r>
        <w:rPr/>
        <w:t xml:space="preserve">Number of target merchants/logistics operators per country</w:t>
      </w:r>
    </w:p>
    <w:p>
      <w:pPr>
        <w:numPr>
          <w:ilvl w:val="1"/>
          <w:numId w:val="7"/>
        </w:numPr>
        <w:spacing w:lineRule="auto"/>
      </w:pPr>
      <w:r>
        <w:rPr/>
        <w:t xml:space="preserve">Average monthly shipments per customer segment</w:t>
      </w:r>
    </w:p>
    <w:p>
      <w:pPr>
        <w:numPr>
          <w:ilvl w:val="1"/>
          <w:numId w:val="7"/>
        </w:numPr>
        <w:spacing w:lineRule="auto"/>
      </w:pPr>
      <w:r>
        <w:rPr/>
        <w:t xml:space="preserve">Expected adoption rate and conversion from GTM channels</w:t>
      </w:r>
    </w:p>
    <w:p>
      <w:pPr>
        <w:spacing w:lineRule="auto"/>
      </w:pPr>
      <w:r>
        <w:rPr/>
        <w:t xml:space="preserve">Assumptions to validate:</w:t>
      </w:r>
    </w:p>
    <w:p>
      <w:pPr>
        <w:numPr>
          <w:ilvl w:val="0"/>
          <w:numId w:val="8"/>
        </w:numPr>
        <w:spacing w:lineRule="auto"/>
      </w:pPr>
      <w:r>
        <w:rPr/>
        <w:t xml:space="preserve">Average SME merchant shipments/month</w:t>
      </w:r>
    </w:p>
    <w:p>
      <w:pPr>
        <w:numPr>
          <w:ilvl w:val="0"/>
          <w:numId w:val="8"/>
        </w:numPr>
        <w:spacing w:lineRule="auto"/>
      </w:pPr>
      <w:r>
        <w:rPr/>
        <w:t xml:space="preserve">Attach rate for SMS and payment features</w:t>
      </w:r>
    </w:p>
    <w:p>
      <w:pPr>
        <w:numPr>
          <w:ilvl w:val="0"/>
          <w:numId w:val="8"/>
        </w:numPr>
        <w:spacing w:lineRule="auto"/>
      </w:pPr>
      <w:r>
        <w:rPr/>
        <w:t xml:space="preserve">Churn benchmarks for logistics SaaS in the region</w:t>
      </w:r>
    </w:p>
    <w:p>
      <w:pPr>
        <w:pStyle w:val="Heading2"/>
        <w:spacing w:lineRule="auto"/>
      </w:pPr>
      <w:r>
        <w:rPr/>
        <w:t xml:space="preserve">Customer Segments and Personas</w:t>
      </w:r>
    </w:p>
    <w:p>
      <w:pPr>
        <w:numPr>
          <w:ilvl w:val="0"/>
          <w:numId w:val="9"/>
        </w:numPr>
        <w:spacing w:lineRule="auto"/>
      </w:pPr>
      <w:r>
        <w:rPr/>
        <w:t xml:space="preserve">Owner/Admin (Logistics operator or large merchant)</w:t>
      </w:r>
    </w:p>
    <w:p>
      <w:pPr>
        <w:numPr>
          <w:ilvl w:val="1"/>
          <w:numId w:val="10"/>
        </w:numPr>
        <w:spacing w:lineRule="auto"/>
      </w:pPr>
      <w:r>
        <w:rPr/>
        <w:t xml:space="preserve">Needs: End-to-end visibility, SLA control, pricing rules, workforce utilization</w:t>
      </w:r>
    </w:p>
    <w:p>
      <w:pPr>
        <w:numPr>
          <w:ilvl w:val="1"/>
          <w:numId w:val="10"/>
        </w:numPr>
        <w:spacing w:lineRule="auto"/>
      </w:pPr>
      <w:r>
        <w:rPr/>
        <w:t xml:space="preserve">Success: Reduced delivery costs, improved SLA adherence</w:t>
      </w:r>
    </w:p>
    <w:p>
      <w:pPr>
        <w:numPr>
          <w:ilvl w:val="0"/>
          <w:numId w:val="9"/>
        </w:numPr>
        <w:spacing w:lineRule="auto"/>
      </w:pPr>
      <w:r>
        <w:rPr/>
        <w:t xml:space="preserve">Merchant (SME/mid-market)</w:t>
      </w:r>
    </w:p>
    <w:p>
      <w:pPr>
        <w:numPr>
          <w:ilvl w:val="1"/>
          <w:numId w:val="11"/>
        </w:numPr>
        <w:spacing w:lineRule="auto"/>
      </w:pPr>
      <w:r>
        <w:rPr/>
        <w:t xml:space="preserve">Needs: Fast shipment creation, tracking, pricing transparency, payment reconciliation</w:t>
      </w:r>
    </w:p>
    <w:p>
      <w:pPr>
        <w:numPr>
          <w:ilvl w:val="1"/>
          <w:numId w:val="11"/>
        </w:numPr>
        <w:spacing w:lineRule="auto"/>
      </w:pPr>
      <w:r>
        <w:rPr/>
        <w:t xml:space="preserve">Success: Higher on-time deliveries, fewer customer complaints, simpler ops</w:t>
      </w:r>
    </w:p>
    <w:p>
      <w:pPr>
        <w:numPr>
          <w:ilvl w:val="0"/>
          <w:numId w:val="9"/>
        </w:numPr>
        <w:spacing w:lineRule="auto"/>
      </w:pPr>
      <w:r>
        <w:rPr/>
        <w:t xml:space="preserve">Courier</w:t>
      </w:r>
    </w:p>
    <w:p>
      <w:pPr>
        <w:numPr>
          <w:ilvl w:val="1"/>
          <w:numId w:val="12"/>
        </w:numPr>
        <w:spacing w:lineRule="auto"/>
      </w:pPr>
      <w:r>
        <w:rPr/>
        <w:t xml:space="preserve">Needs: Clear manifest, route guidance, easy status updates (POD capture)</w:t>
      </w:r>
    </w:p>
    <w:p>
      <w:pPr>
        <w:numPr>
          <w:ilvl w:val="1"/>
          <w:numId w:val="12"/>
        </w:numPr>
        <w:spacing w:lineRule="auto"/>
      </w:pPr>
      <w:r>
        <w:rPr/>
        <w:t xml:space="preserve">Success: Efficient routes, minimal app friction, accountability</w:t>
      </w:r>
    </w:p>
    <w:p>
      <w:pPr>
        <w:numPr>
          <w:ilvl w:val="0"/>
          <w:numId w:val="9"/>
        </w:numPr>
        <w:spacing w:lineRule="auto"/>
      </w:pPr>
      <w:r>
        <w:rPr/>
        <w:t xml:space="preserve">Warehouse staff</w:t>
      </w:r>
    </w:p>
    <w:p>
      <w:pPr>
        <w:numPr>
          <w:ilvl w:val="1"/>
          <w:numId w:val="13"/>
        </w:numPr>
        <w:spacing w:lineRule="auto"/>
      </w:pPr>
      <w:r>
        <w:rPr/>
        <w:t xml:space="preserve">Needs: Intake, sorting, dispatch workflows; exceptions handling</w:t>
      </w:r>
    </w:p>
    <w:p>
      <w:pPr>
        <w:numPr>
          <w:ilvl w:val="1"/>
          <w:numId w:val="13"/>
        </w:numPr>
        <w:spacing w:lineRule="auto"/>
      </w:pPr>
      <w:r>
        <w:rPr/>
        <w:t xml:space="preserve">Success: Faster turnaround and fewer misroutes</w:t>
      </w:r>
    </w:p>
    <w:p>
      <w:pPr>
        <w:numPr>
          <w:ilvl w:val="0"/>
          <w:numId w:val="9"/>
        </w:numPr>
        <w:spacing w:lineRule="auto"/>
      </w:pPr>
      <w:r>
        <w:rPr/>
        <w:t xml:space="preserve">Finance/Operations (cross-role)</w:t>
      </w:r>
    </w:p>
    <w:p>
      <w:pPr>
        <w:numPr>
          <w:ilvl w:val="1"/>
          <w:numId w:val="14"/>
        </w:numPr>
        <w:spacing w:lineRule="auto"/>
      </w:pPr>
      <w:r>
        <w:rPr/>
        <w:t xml:space="preserve">Needs: Settlement, payout, pricing configurations, cost control, reports</w:t>
      </w:r>
    </w:p>
    <w:p>
      <w:pPr>
        <w:numPr>
          <w:ilvl w:val="1"/>
          <w:numId w:val="14"/>
        </w:numPr>
        <w:spacing w:lineRule="auto"/>
      </w:pPr>
      <w:r>
        <w:rPr/>
        <w:t xml:space="preserve">Success: Accurate reconciliations; cost-to-serve clarity</w:t>
      </w:r>
    </w:p>
    <w:p>
      <w:pPr>
        <w:pStyle w:val="Heading2"/>
        <w:spacing w:lineRule="auto"/>
      </w:pPr>
      <w:r>
        <w:rPr/>
        <w:t xml:space="preserve">Value Propositions</w:t>
      </w:r>
    </w:p>
    <w:p>
      <w:pPr>
        <w:numPr>
          <w:ilvl w:val="0"/>
          <w:numId w:val="15"/>
        </w:numPr>
        <w:spacing w:lineRule="auto"/>
      </w:pPr>
      <w:r>
        <w:rPr/>
        <w:t xml:space="preserve">Arabic-first, role-based UX designed for operational clarity and speed.</w:t>
      </w:r>
    </w:p>
    <w:p>
      <w:pPr>
        <w:numPr>
          <w:ilvl w:val="0"/>
          <w:numId w:val="15"/>
        </w:numPr>
        <w:spacing w:lineRule="auto"/>
      </w:pPr>
      <w:r>
        <w:rPr/>
        <w:t xml:space="preserve">End-to-end delivery orchestration with lifecycle automation and alerts.</w:t>
      </w:r>
    </w:p>
    <w:p>
      <w:pPr>
        <w:numPr>
          <w:ilvl w:val="0"/>
          <w:numId w:val="15"/>
        </w:numPr>
        <w:spacing w:lineRule="auto"/>
      </w:pPr>
      <w:r>
        <w:rPr/>
        <w:t xml:space="preserve">Zone-based pricing and assignment logic to improve margins and SLAs.</w:t>
      </w:r>
    </w:p>
    <w:p>
      <w:pPr>
        <w:numPr>
          <w:ilvl w:val="0"/>
          <w:numId w:val="15"/>
        </w:numPr>
        <w:spacing w:lineRule="auto"/>
      </w:pPr>
      <w:r>
        <w:rPr/>
        <w:t xml:space="preserve">Visibility and compliance: monitoring dashboards, auditable events, and secure architecture.</w:t>
      </w:r>
    </w:p>
    <w:p>
      <w:pPr>
        <w:numPr>
          <w:ilvl w:val="0"/>
          <w:numId w:val="15"/>
        </w:numPr>
        <w:spacing w:lineRule="auto"/>
      </w:pPr>
      <w:r>
        <w:rPr/>
        <w:t xml:space="preserve">Lower total cost of ownership through integrated stack (reverse proxy, caching, observability).</w:t>
      </w:r>
    </w:p>
    <w:p>
      <w:pPr>
        <w:numPr>
          <w:ilvl w:val="0"/>
          <w:numId w:val="15"/>
        </w:numPr>
        <w:spacing w:lineRule="auto"/>
      </w:pPr>
      <w:r>
        <w:rPr/>
        <w:t xml:space="preserve">Faster onboarding and time-to-value via opinionated defaults and templates.</w:t>
      </w:r>
    </w:p>
    <w:p>
      <w:pPr>
        <w:spacing w:lineRule="auto"/>
      </w:pPr>
      <w:r>
        <w:rPr/>
        <w:t xml:space="preserve">Expected outcomes (to validate in pilots):</w:t>
      </w:r>
    </w:p>
    <w:p>
      <w:pPr>
        <w:numPr>
          <w:ilvl w:val="0"/>
          <w:numId w:val="16"/>
        </w:numPr>
        <w:spacing w:lineRule="auto"/>
      </w:pPr>
      <w:r>
        <w:rPr/>
        <w:t xml:space="preserve">10–30% reduction in manual scheduling/dispatching effort.</w:t>
      </w:r>
    </w:p>
    <w:p>
      <w:pPr>
        <w:numPr>
          <w:ilvl w:val="0"/>
          <w:numId w:val="16"/>
        </w:numPr>
        <w:spacing w:lineRule="auto"/>
      </w:pPr>
      <w:r>
        <w:rPr/>
        <w:t xml:space="preserve">Improved on-time delivery and lower fail rates through better routing/assignment.</w:t>
      </w:r>
    </w:p>
    <w:p>
      <w:pPr>
        <w:numPr>
          <w:ilvl w:val="0"/>
          <w:numId w:val="16"/>
        </w:numPr>
        <w:spacing w:lineRule="auto"/>
      </w:pPr>
      <w:r>
        <w:rPr/>
        <w:t xml:space="preserve">Reduced customer support load via real-time tracking and automated notifications.</w:t>
      </w:r>
    </w:p>
    <w:p>
      <w:pPr>
        <w:numPr>
          <w:ilvl w:val="0"/>
          <w:numId w:val="16"/>
        </w:numPr>
        <w:spacing w:lineRule="auto"/>
      </w:pPr>
      <w:r>
        <w:rPr/>
        <w:t xml:space="preserve">Measurable increase in courier utilization.</w:t>
      </w:r>
    </w:p>
    <w:p>
      <w:pPr>
        <w:pStyle w:val="Heading2"/>
        <w:spacing w:lineRule="auto"/>
      </w:pPr>
      <w:r>
        <w:rPr/>
        <w:t xml:space="preserve">Product and Feature Overview</w:t>
      </w:r>
    </w:p>
    <w:p>
      <w:pPr>
        <w:numPr>
          <w:ilvl w:val="0"/>
          <w:numId w:val="17"/>
        </w:numPr>
        <w:spacing w:lineRule="auto"/>
      </w:pPr>
      <w:r>
        <w:rPr/>
        <w:t xml:space="preserve">Dashboards: Owner/Admin, Merchant, Courier, Warehouse</w:t>
      </w:r>
    </w:p>
    <w:p>
      <w:pPr>
        <w:numPr>
          <w:ilvl w:val="0"/>
          <w:numId w:val="17"/>
        </w:numPr>
        <w:spacing w:lineRule="auto"/>
      </w:pPr>
      <w:r>
        <w:rPr/>
        <w:t xml:space="preserve">Shipment Management: Create, assign, pick-up, in-transit, deliver; issue handling</w:t>
      </w:r>
    </w:p>
    <w:p>
      <w:pPr>
        <w:numPr>
          <w:ilvl w:val="0"/>
          <w:numId w:val="17"/>
        </w:numPr>
        <w:spacing w:lineRule="auto"/>
      </w:pPr>
      <w:r>
        <w:rPr/>
        <w:t xml:space="preserve">Manifest Generation: Daily route/manifest creation for couriers</w:t>
      </w:r>
    </w:p>
    <w:p>
      <w:pPr>
        <w:numPr>
          <w:ilvl w:val="0"/>
          <w:numId w:val="17"/>
        </w:numPr>
        <w:spacing w:lineRule="auto"/>
      </w:pPr>
      <w:r>
        <w:rPr/>
        <w:t xml:space="preserve">Pricing &amp; Zones: Zone creation, distance-based or zone-based rates, surcharges</w:t>
      </w:r>
    </w:p>
    <w:p>
      <w:pPr>
        <w:numPr>
          <w:ilvl w:val="0"/>
          <w:numId w:val="17"/>
        </w:numPr>
        <w:spacing w:lineRule="auto"/>
      </w:pPr>
      <w:r>
        <w:rPr/>
        <w:t xml:space="preserve">Communications: SMS notifications (Twilio)</w:t>
      </w:r>
    </w:p>
    <w:p>
      <w:pPr>
        <w:numPr>
          <w:ilvl w:val="0"/>
          <w:numId w:val="17"/>
        </w:numPr>
        <w:spacing w:lineRule="auto"/>
      </w:pPr>
      <w:r>
        <w:rPr/>
        <w:t xml:space="preserve">Payments: Gateway integration for COD reconciliation and online capture</w:t>
      </w:r>
    </w:p>
    <w:p>
      <w:pPr>
        <w:numPr>
          <w:ilvl w:val="0"/>
          <w:numId w:val="17"/>
        </w:numPr>
        <w:spacing w:lineRule="auto"/>
      </w:pPr>
      <w:r>
        <w:rPr/>
        <w:t xml:space="preserve">Analytics &amp; Reporting: Courier performance, merchant performance, warehouse throughput</w:t>
      </w:r>
    </w:p>
    <w:p>
      <w:pPr>
        <w:numPr>
          <w:ilvl w:val="0"/>
          <w:numId w:val="17"/>
        </w:numPr>
        <w:spacing w:lineRule="auto"/>
      </w:pPr>
      <w:r>
        <w:rPr/>
        <w:t xml:space="preserve">Security: JWT, RBAC, BCrypt, CSRF protection, TLS</w:t>
      </w:r>
    </w:p>
    <w:p>
      <w:pPr>
        <w:numPr>
          <w:ilvl w:val="0"/>
          <w:numId w:val="17"/>
        </w:numPr>
        <w:spacing w:lineRule="auto"/>
      </w:pPr>
      <w:r>
        <w:rPr/>
        <w:t xml:space="preserve">Infrastructure: Spring Boot (backend), Vanilla JS modules (frontend), Redis cache, Nginx, Prometheus/Grafana</w:t>
      </w:r>
    </w:p>
    <w:p>
      <w:pPr>
        <w:spacing w:lineRule="auto"/>
      </w:pPr>
      <w:r>
        <w:rPr/>
        <w:t xml:space="preserve">Architecture choices supporting the business:</w:t>
      </w:r>
    </w:p>
    <w:p>
      <w:pPr>
        <w:numPr>
          <w:ilvl w:val="0"/>
          <w:numId w:val="18"/>
        </w:numPr>
        <w:spacing w:lineRule="auto"/>
      </w:pPr>
      <w:r>
        <w:rPr/>
        <w:t xml:space="preserve">Redis for performance and scalability under peak delivery windows</w:t>
      </w:r>
    </w:p>
    <w:p>
      <w:pPr>
        <w:numPr>
          <w:ilvl w:val="0"/>
          <w:numId w:val="18"/>
        </w:numPr>
        <w:spacing w:lineRule="auto"/>
      </w:pPr>
      <w:r>
        <w:rPr/>
        <w:t xml:space="preserve">Nginx as a reverse proxy for SSL termination and routing</w:t>
      </w:r>
    </w:p>
    <w:p>
      <w:pPr>
        <w:numPr>
          <w:ilvl w:val="0"/>
          <w:numId w:val="18"/>
        </w:numPr>
        <w:spacing w:lineRule="auto"/>
      </w:pPr>
      <w:r>
        <w:rPr/>
        <w:t xml:space="preserve">Prometheus/Grafana for SLA monitoring and proactive ops</w:t>
      </w:r>
    </w:p>
    <w:p>
      <w:pPr>
        <w:numPr>
          <w:ilvl w:val="0"/>
          <w:numId w:val="18"/>
        </w:numPr>
        <w:spacing w:lineRule="auto"/>
      </w:pPr>
      <w:r>
        <w:rPr/>
        <w:t xml:space="preserve">Tailwind/responsive design for multi-device usability (including courier mobile)</w:t>
      </w:r>
    </w:p>
    <w:p>
      <w:pPr>
        <w:pStyle w:val="Heading2"/>
        <w:spacing w:lineRule="auto"/>
      </w:pPr>
      <w:r>
        <w:rPr/>
        <w:t xml:space="preserve">Business Model Canvas</w:t>
      </w:r>
    </w:p>
    <w:p>
      <w:pPr>
        <w:numPr>
          <w:ilvl w:val="0"/>
          <w:numId w:val="19"/>
        </w:numPr>
        <w:spacing w:lineRule="auto"/>
      </w:pPr>
      <w:r>
        <w:rPr/>
        <w:t xml:space="preserve">Customer Segments: SMEs/mid-market merchants; logistics providers; marketplaces; warehouses</w:t>
      </w:r>
    </w:p>
    <w:p>
      <w:pPr>
        <w:numPr>
          <w:ilvl w:val="0"/>
          <w:numId w:val="19"/>
        </w:numPr>
        <w:spacing w:lineRule="auto"/>
      </w:pPr>
      <w:r>
        <w:rPr/>
        <w:t xml:space="preserve">Value Propositions: Arabic-first orchestration; lifecycle automation; pricing optimization; robust security and monitoring</w:t>
      </w:r>
    </w:p>
    <w:p>
      <w:pPr>
        <w:numPr>
          <w:ilvl w:val="0"/>
          <w:numId w:val="19"/>
        </w:numPr>
        <w:spacing w:lineRule="auto"/>
      </w:pPr>
      <w:r>
        <w:rPr/>
        <w:t xml:space="preserve">Channels: Direct sales, partner resellers (system integrators/logistics consultants), online inbound content, marketplace partnerships</w:t>
      </w:r>
    </w:p>
    <w:p>
      <w:pPr>
        <w:numPr>
          <w:ilvl w:val="0"/>
          <w:numId w:val="19"/>
        </w:numPr>
        <w:spacing w:lineRule="auto"/>
      </w:pPr>
      <w:r>
        <w:rPr/>
        <w:t xml:space="preserve">Customer Relationships: Self-serve onboarding for SMEs, assisted onboarding for mid-market/enterprise, dedicated CSM for strategic accounts</w:t>
      </w:r>
    </w:p>
    <w:p>
      <w:pPr>
        <w:numPr>
          <w:ilvl w:val="0"/>
          <w:numId w:val="19"/>
        </w:numPr>
        <w:spacing w:lineRule="auto"/>
      </w:pPr>
      <w:r>
        <w:rPr/>
        <w:t xml:space="preserve">Revenue Streams: Subscription (tiered), per-shipment fees, add-ons (SMS, analytics, premium support), payment processing margin (where applicable)</w:t>
      </w:r>
    </w:p>
    <w:p>
      <w:pPr>
        <w:numPr>
          <w:ilvl w:val="0"/>
          <w:numId w:val="19"/>
        </w:numPr>
        <w:spacing w:lineRule="auto"/>
      </w:pPr>
      <w:r>
        <w:rPr/>
        <w:t xml:space="preserve">Key Resources: Engineering team, DevOps/infra (Redis, Nginx, Prometheus/Grafana), vendor integrations (Twilio, Payment gateway, Maps), Sales/support staff</w:t>
      </w:r>
    </w:p>
    <w:p>
      <w:pPr>
        <w:numPr>
          <w:ilvl w:val="0"/>
          <w:numId w:val="19"/>
        </w:numPr>
        <w:spacing w:lineRule="auto"/>
      </w:pPr>
      <w:r>
        <w:rPr/>
        <w:t xml:space="preserve">Key Activities: Product development, SLA monitoring, customer onboarding/training, partner enablement</w:t>
      </w:r>
    </w:p>
    <w:p>
      <w:pPr>
        <w:numPr>
          <w:ilvl w:val="0"/>
          <w:numId w:val="19"/>
        </w:numPr>
        <w:spacing w:lineRule="auto"/>
      </w:pPr>
      <w:r>
        <w:rPr/>
        <w:t xml:space="preserve">Key Partners: Telco/SMS provider (Twilio), payment gateways, cloud hosting, logistics partners, reseller/SI partners</w:t>
      </w:r>
    </w:p>
    <w:p>
      <w:pPr>
        <w:numPr>
          <w:ilvl w:val="0"/>
          <w:numId w:val="19"/>
        </w:numPr>
        <w:spacing w:lineRule="auto"/>
      </w:pPr>
      <w:r>
        <w:rPr/>
        <w:t xml:space="preserve">Cost Structure: Cloud infra, SMS/Maps usage, engineering and support headcount, sales/marketing, compliance and security</w:t>
      </w:r>
    </w:p>
    <w:p>
      <w:pPr>
        <w:pStyle w:val="Heading2"/>
        <w:spacing w:lineRule="auto"/>
      </w:pPr>
      <w:r>
        <w:rPr/>
        <w:t xml:space="preserve">Revenue Model and Pricing</w:t>
      </w:r>
    </w:p>
    <w:p>
      <w:pPr>
        <w:spacing w:lineRule="auto"/>
      </w:pPr>
      <w:r>
        <w:rPr/>
        <w:t xml:space="preserve">Subscription tiers:</w:t>
      </w:r>
    </w:p>
    <w:p>
      <w:pPr>
        <w:numPr>
          <w:ilvl w:val="0"/>
          <w:numId w:val="20"/>
        </w:numPr>
        <w:spacing w:lineRule="auto"/>
      </w:pPr>
      <w:r>
        <w:rPr/>
        <w:t xml:space="preserve">Starter (SME): Limited seats, capped shipments/month, core features</w:t>
      </w:r>
    </w:p>
    <w:p>
      <w:pPr>
        <w:numPr>
          <w:ilvl w:val="0"/>
          <w:numId w:val="20"/>
        </w:numPr>
        <w:spacing w:lineRule="auto"/>
      </w:pPr>
      <w:r>
        <w:rPr/>
        <w:t xml:space="preserve">Growth (Mid-market): More seats, higher limits, advanced reports, basic SLA</w:t>
      </w:r>
    </w:p>
    <w:p>
      <w:pPr>
        <w:numPr>
          <w:ilvl w:val="0"/>
          <w:numId w:val="20"/>
        </w:numPr>
        <w:spacing w:lineRule="auto"/>
      </w:pPr>
      <w:r>
        <w:rPr/>
        <w:t xml:space="preserve">Enterprise: Unlimited seats, high-volume pricing, SSO, custom SLAs, dedicated CSM</w:t>
      </w:r>
    </w:p>
    <w:p>
      <w:pPr>
        <w:spacing w:lineRule="auto"/>
      </w:pPr>
      <w:r>
        <w:rPr/>
        <w:t xml:space="preserve">Usage-based fees:</w:t>
      </w:r>
    </w:p>
    <w:p>
      <w:pPr>
        <w:numPr>
          <w:ilvl w:val="0"/>
          <w:numId w:val="21"/>
        </w:numPr>
        <w:spacing w:lineRule="auto"/>
      </w:pPr>
      <w:r>
        <w:rPr/>
        <w:t xml:space="preserve">Per-shipment fee (decreasing with volume tiers)</w:t>
      </w:r>
    </w:p>
    <w:p>
      <w:pPr>
        <w:numPr>
          <w:ilvl w:val="0"/>
          <w:numId w:val="21"/>
        </w:numPr>
        <w:spacing w:lineRule="auto"/>
      </w:pPr>
      <w:r>
        <w:rPr/>
        <w:t xml:space="preserve">SMS fee pass-through plus margin (optional)</w:t>
      </w:r>
    </w:p>
    <w:p>
      <w:pPr>
        <w:numPr>
          <w:ilvl w:val="0"/>
          <w:numId w:val="21"/>
        </w:numPr>
        <w:spacing w:lineRule="auto"/>
      </w:pPr>
      <w:r>
        <w:rPr/>
        <w:t xml:space="preserve">Premium add-ons: Advanced analytics, route optimization, audit/compliance packs</w:t>
      </w:r>
    </w:p>
    <w:p>
      <w:pPr>
        <w:spacing w:lineRule="auto"/>
      </w:pPr>
      <w:r>
        <w:rPr/>
        <w:t xml:space="preserve">Payment monetization (optional by market):</w:t>
      </w:r>
    </w:p>
    <w:p>
      <w:pPr>
        <w:numPr>
          <w:ilvl w:val="0"/>
          <w:numId w:val="22"/>
        </w:numPr>
        <w:spacing w:lineRule="auto"/>
      </w:pPr>
      <w:r>
        <w:rPr/>
        <w:t xml:space="preserve">Interchange/rebate or flat margin on payment gateway integrations (where permitted)</w:t>
      </w:r>
    </w:p>
    <w:p>
      <w:pPr>
        <w:spacing w:lineRule="auto"/>
      </w:pPr>
      <w:r>
        <w:rPr/>
        <w:t xml:space="preserve">Discounts and terms:</w:t>
      </w:r>
    </w:p>
    <w:p>
      <w:pPr>
        <w:numPr>
          <w:ilvl w:val="0"/>
          <w:numId w:val="23"/>
        </w:numPr>
        <w:spacing w:lineRule="auto"/>
      </w:pPr>
      <w:r>
        <w:rPr/>
        <w:t xml:space="preserve">Annual prepay discounts</w:t>
      </w:r>
    </w:p>
    <w:p>
      <w:pPr>
        <w:numPr>
          <w:ilvl w:val="0"/>
          <w:numId w:val="23"/>
        </w:numPr>
        <w:spacing w:lineRule="auto"/>
      </w:pPr>
      <w:r>
        <w:rPr/>
        <w:t xml:space="preserve">Volume-based tiered pricing for shipments</w:t>
      </w:r>
    </w:p>
    <w:p>
      <w:pPr>
        <w:numPr>
          <w:ilvl w:val="0"/>
          <w:numId w:val="23"/>
        </w:numPr>
        <w:spacing w:lineRule="auto"/>
      </w:pPr>
      <w:r>
        <w:rPr/>
        <w:t xml:space="preserve">Partner/reseller discounts</w:t>
      </w:r>
    </w:p>
    <w:p>
      <w:pPr>
        <w:pStyle w:val="Heading2"/>
        <w:spacing w:lineRule="auto"/>
      </w:pPr>
      <w:r>
        <w:rPr/>
        <w:t xml:space="preserve">Go-to-Market Strategy</w:t>
      </w:r>
    </w:p>
    <w:p>
      <w:pPr>
        <w:spacing w:lineRule="auto"/>
      </w:pPr>
      <w:r>
        <w:rPr/>
        <w:t xml:space="preserve">Channels:</w:t>
      </w:r>
    </w:p>
    <w:p>
      <w:pPr>
        <w:numPr>
          <w:ilvl w:val="0"/>
          <w:numId w:val="24"/>
        </w:numPr>
        <w:spacing w:lineRule="auto"/>
      </w:pPr>
      <w:r>
        <w:rPr/>
        <w:t xml:space="preserve">Direct: Inbound (SEO, content localized in Arabic/English), outbound to mid-market targets</w:t>
      </w:r>
    </w:p>
    <w:p>
      <w:pPr>
        <w:numPr>
          <w:ilvl w:val="0"/>
          <w:numId w:val="24"/>
        </w:numPr>
        <w:spacing w:lineRule="auto"/>
      </w:pPr>
      <w:r>
        <w:rPr/>
        <w:t xml:space="preserve">Partners: Resellers, SIs, logistics consultants, payment gateway co-selling</w:t>
      </w:r>
    </w:p>
    <w:p>
      <w:pPr>
        <w:numPr>
          <w:ilvl w:val="0"/>
          <w:numId w:val="24"/>
        </w:numPr>
        <w:spacing w:lineRule="auto"/>
      </w:pPr>
      <w:r>
        <w:rPr/>
        <w:t xml:space="preserve">Alliances: E-commerce platforms/marketplaces for embedded logistics tooling</w:t>
      </w:r>
    </w:p>
    <w:p>
      <w:pPr>
        <w:spacing w:lineRule="auto"/>
      </w:pPr>
      <w:r>
        <w:rPr/>
        <w:t xml:space="preserve">Sales motion:</w:t>
      </w:r>
    </w:p>
    <w:p>
      <w:pPr>
        <w:numPr>
          <w:ilvl w:val="0"/>
          <w:numId w:val="25"/>
        </w:numPr>
        <w:spacing w:lineRule="auto"/>
      </w:pPr>
      <w:r>
        <w:rPr/>
        <w:t xml:space="preserve">Self-serve trials for SMEs; guided demos and POCs for mid-market/enterprise</w:t>
      </w:r>
    </w:p>
    <w:p>
      <w:pPr>
        <w:numPr>
          <w:ilvl w:val="0"/>
          <w:numId w:val="25"/>
        </w:numPr>
        <w:spacing w:lineRule="auto"/>
      </w:pPr>
      <w:r>
        <w:rPr/>
        <w:t xml:space="preserve">ROI calculators and migration playbooks</w:t>
      </w:r>
    </w:p>
    <w:p>
      <w:pPr>
        <w:spacing w:lineRule="auto"/>
      </w:pPr>
      <w:r>
        <w:rPr/>
        <w:t xml:space="preserve">Onboarding:</w:t>
      </w:r>
    </w:p>
    <w:p>
      <w:pPr>
        <w:numPr>
          <w:ilvl w:val="0"/>
          <w:numId w:val="26"/>
        </w:numPr>
        <w:spacing w:lineRule="auto"/>
      </w:pPr>
      <w:r>
        <w:rPr/>
        <w:t xml:space="preserve">Templates (zones, pricing), sample manifests, sandbox environment</w:t>
      </w:r>
    </w:p>
    <w:p>
      <w:pPr>
        <w:numPr>
          <w:ilvl w:val="0"/>
          <w:numId w:val="26"/>
        </w:numPr>
        <w:spacing w:lineRule="auto"/>
      </w:pPr>
      <w:r>
        <w:rPr/>
        <w:t xml:space="preserve">Training modules for roles; Arabic-first documentation</w:t>
      </w:r>
    </w:p>
    <w:p>
      <w:pPr>
        <w:spacing w:lineRule="auto"/>
      </w:pPr>
      <w:r>
        <w:rPr/>
        <w:t xml:space="preserve">Marketing:</w:t>
      </w:r>
    </w:p>
    <w:p>
      <w:pPr>
        <w:numPr>
          <w:ilvl w:val="0"/>
          <w:numId w:val="27"/>
        </w:numPr>
        <w:spacing w:lineRule="auto"/>
      </w:pPr>
      <w:r>
        <w:rPr/>
        <w:t xml:space="preserve">Case studies in local markets</w:t>
      </w:r>
    </w:p>
    <w:p>
      <w:pPr>
        <w:numPr>
          <w:ilvl w:val="0"/>
          <w:numId w:val="27"/>
        </w:numPr>
        <w:spacing w:lineRule="auto"/>
      </w:pPr>
      <w:r>
        <w:rPr/>
        <w:t xml:space="preserve">Thought leadership on last-mile optimization and Arabic UX accessibility</w:t>
      </w:r>
    </w:p>
    <w:p>
      <w:pPr>
        <w:pStyle w:val="Heading2"/>
        <w:spacing w:lineRule="auto"/>
      </w:pPr>
      <w:r>
        <w:rPr/>
        <w:t xml:space="preserve">Operations and Service Delivery</w:t>
      </w:r>
    </w:p>
    <w:p>
      <w:pPr>
        <w:spacing w:lineRule="auto"/>
      </w:pPr>
      <w:r>
        <w:rPr/>
        <w:t xml:space="preserve">SLAs:</w:t>
      </w:r>
    </w:p>
    <w:p>
      <w:pPr>
        <w:numPr>
          <w:ilvl w:val="0"/>
          <w:numId w:val="28"/>
        </w:numPr>
        <w:spacing w:lineRule="auto"/>
      </w:pPr>
      <w:r>
        <w:rPr/>
        <w:t xml:space="preserve">Starter/Growth: 99.5% monthly uptime; Enterprise: 99.9% with credits</w:t>
      </w:r>
    </w:p>
    <w:p>
      <w:pPr>
        <w:numPr>
          <w:ilvl w:val="0"/>
          <w:numId w:val="28"/>
        </w:numPr>
        <w:spacing w:lineRule="auto"/>
      </w:pPr>
      <w:r>
        <w:rPr/>
        <w:t xml:space="preserve">Support response time targets by tier (e.g., P1 &lt; 1 hour Enterprise)</w:t>
      </w:r>
    </w:p>
    <w:p>
      <w:pPr>
        <w:spacing w:lineRule="auto"/>
      </w:pPr>
      <w:r>
        <w:rPr/>
        <w:t xml:space="preserve">Support:</w:t>
      </w:r>
    </w:p>
    <w:p>
      <w:pPr>
        <w:numPr>
          <w:ilvl w:val="0"/>
          <w:numId w:val="29"/>
        </w:numPr>
        <w:spacing w:lineRule="auto"/>
      </w:pPr>
      <w:r>
        <w:rPr/>
        <w:t xml:space="preserve">Knowledge base in Arabic/English; ticketing with escalation paths</w:t>
      </w:r>
    </w:p>
    <w:p>
      <w:pPr>
        <w:numPr>
          <w:ilvl w:val="0"/>
          <w:numId w:val="29"/>
        </w:numPr>
        <w:spacing w:lineRule="auto"/>
      </w:pPr>
      <w:r>
        <w:rPr/>
        <w:t xml:space="preserve">Dedicated CSM for enterprise</w:t>
      </w:r>
    </w:p>
    <w:p>
      <w:pPr>
        <w:spacing w:lineRule="auto"/>
      </w:pPr>
      <w:r>
        <w:rPr/>
        <w:t xml:space="preserve">Service management:</w:t>
      </w:r>
    </w:p>
    <w:p>
      <w:pPr>
        <w:numPr>
          <w:ilvl w:val="0"/>
          <w:numId w:val="30"/>
        </w:numPr>
        <w:spacing w:lineRule="auto"/>
      </w:pPr>
      <w:r>
        <w:rPr/>
        <w:t xml:space="preserve">Observability stack with dashboards for latency, error rates, queue backlogs</w:t>
      </w:r>
    </w:p>
    <w:p>
      <w:pPr>
        <w:numPr>
          <w:ilvl w:val="0"/>
          <w:numId w:val="30"/>
        </w:numPr>
        <w:spacing w:lineRule="auto"/>
      </w:pPr>
      <w:r>
        <w:rPr/>
        <w:t xml:space="preserve">Incident management playbooks; post-incident reviews</w:t>
      </w:r>
    </w:p>
    <w:p>
      <w:pPr>
        <w:spacing w:lineRule="auto"/>
      </w:pPr>
      <w:r>
        <w:rPr/>
        <w:t xml:space="preserve">Data and backup:</w:t>
      </w:r>
    </w:p>
    <w:p>
      <w:pPr>
        <w:numPr>
          <w:ilvl w:val="0"/>
          <w:numId w:val="31"/>
        </w:numPr>
        <w:spacing w:lineRule="auto"/>
      </w:pPr>
      <w:r>
        <w:rPr/>
        <w:t xml:space="preserve">Regular automated backups; tested restore processes</w:t>
      </w:r>
    </w:p>
    <w:p>
      <w:pPr>
        <w:numPr>
          <w:ilvl w:val="0"/>
          <w:numId w:val="31"/>
        </w:numPr>
        <w:spacing w:lineRule="auto"/>
      </w:pPr>
      <w:r>
        <w:rPr/>
        <w:t xml:space="preserve">Data retention policies by tier and compliance requirements</w:t>
      </w:r>
    </w:p>
    <w:p>
      <w:pPr>
        <w:pStyle w:val="Heading2"/>
        <w:spacing w:lineRule="auto"/>
      </w:pPr>
      <w:r>
        <w:rPr/>
        <w:t xml:space="preserve">Key Resources and Partners</w:t>
      </w:r>
    </w:p>
    <w:p>
      <w:pPr>
        <w:spacing w:lineRule="auto"/>
      </w:pPr>
      <w:r>
        <w:rPr/>
        <w:t xml:space="preserve">Technology:</w:t>
      </w:r>
    </w:p>
    <w:p>
      <w:pPr>
        <w:numPr>
          <w:ilvl w:val="0"/>
          <w:numId w:val="32"/>
        </w:numPr>
        <w:spacing w:lineRule="auto"/>
      </w:pPr>
      <w:r>
        <w:rPr/>
        <w:t xml:space="preserve">Spring Boot (backend), Modular JS (frontend), Tailwind CSS</w:t>
      </w:r>
    </w:p>
    <w:p>
      <w:pPr>
        <w:numPr>
          <w:ilvl w:val="0"/>
          <w:numId w:val="32"/>
        </w:numPr>
        <w:spacing w:lineRule="auto"/>
      </w:pPr>
      <w:r>
        <w:rPr/>
        <w:t xml:space="preserve">Redis, Nginx, Prometheus/Grafana, SSL/TLS</w:t>
      </w:r>
    </w:p>
    <w:p>
      <w:pPr>
        <w:numPr>
          <w:ilvl w:val="0"/>
          <w:numId w:val="32"/>
        </w:numPr>
        <w:spacing w:lineRule="auto"/>
      </w:pPr>
      <w:r>
        <w:rPr/>
        <w:t xml:space="preserve">Twilio SMS, payment gateway(s), Google Maps</w:t>
      </w:r>
    </w:p>
    <w:p>
      <w:pPr>
        <w:spacing w:lineRule="auto"/>
      </w:pPr>
      <w:r>
        <w:rPr/>
        <w:t xml:space="preserve">Human capital:</w:t>
      </w:r>
    </w:p>
    <w:p>
      <w:pPr>
        <w:numPr>
          <w:ilvl w:val="0"/>
          <w:numId w:val="33"/>
        </w:numPr>
        <w:spacing w:lineRule="auto"/>
      </w:pPr>
      <w:r>
        <w:rPr/>
        <w:t xml:space="preserve">Engineering, DevOps/SRE, Product, UX (Arabic typographic expertise)</w:t>
      </w:r>
    </w:p>
    <w:p>
      <w:pPr>
        <w:numPr>
          <w:ilvl w:val="0"/>
          <w:numId w:val="33"/>
        </w:numPr>
        <w:spacing w:lineRule="auto"/>
      </w:pPr>
      <w:r>
        <w:rPr/>
        <w:t xml:space="preserve">Sales, Partnerships, Customer Success, Support</w:t>
      </w:r>
    </w:p>
    <w:p>
      <w:pPr>
        <w:spacing w:lineRule="auto"/>
      </w:pPr>
      <w:r>
        <w:rPr/>
        <w:t xml:space="preserve">Partners:</w:t>
      </w:r>
    </w:p>
    <w:p>
      <w:pPr>
        <w:numPr>
          <w:ilvl w:val="0"/>
          <w:numId w:val="34"/>
        </w:numPr>
        <w:spacing w:lineRule="auto"/>
      </w:pPr>
      <w:r>
        <w:rPr/>
        <w:t xml:space="preserve">Regional payment providers; logistics networks; SIs/resellers</w:t>
      </w:r>
    </w:p>
    <w:p>
      <w:pPr>
        <w:pStyle w:val="Heading2"/>
        <w:spacing w:lineRule="auto"/>
      </w:pPr>
      <w:r>
        <w:rPr/>
        <w:t xml:space="preserve">Cost Structure and Unit Economics</w:t>
      </w:r>
    </w:p>
    <w:p>
      <w:pPr>
        <w:spacing w:lineRule="auto"/>
      </w:pPr>
      <w:r>
        <w:rPr/>
        <w:t xml:space="preserve">Variable costs:</w:t>
      </w:r>
    </w:p>
    <w:p>
      <w:pPr>
        <w:numPr>
          <w:ilvl w:val="0"/>
          <w:numId w:val="35"/>
        </w:numPr>
        <w:spacing w:lineRule="auto"/>
      </w:pPr>
      <w:r>
        <w:rPr/>
        <w:t xml:space="preserve">SMS per message; Maps API requests; per-shipment compute/storage increments</w:t>
      </w:r>
    </w:p>
    <w:p>
      <w:pPr>
        <w:numPr>
          <w:ilvl w:val="0"/>
          <w:numId w:val="35"/>
        </w:numPr>
        <w:spacing w:lineRule="auto"/>
      </w:pPr>
      <w:r>
        <w:rPr/>
        <w:t xml:space="preserve">Payment gateway fees (if routed) and refunds/chargebacks administration</w:t>
      </w:r>
    </w:p>
    <w:p>
      <w:pPr>
        <w:numPr>
          <w:ilvl w:val="0"/>
          <w:numId w:val="35"/>
        </w:numPr>
        <w:spacing w:lineRule="auto"/>
      </w:pPr>
      <w:r>
        <w:rPr/>
        <w:t xml:space="preserve">Support per-ticket handling costs</w:t>
      </w:r>
    </w:p>
    <w:p>
      <w:pPr>
        <w:spacing w:lineRule="auto"/>
      </w:pPr>
      <w:r>
        <w:rPr/>
        <w:t xml:space="preserve">Fixed costs:</w:t>
      </w:r>
    </w:p>
    <w:p>
      <w:pPr>
        <w:numPr>
          <w:ilvl w:val="0"/>
          <w:numId w:val="36"/>
        </w:numPr>
        <w:spacing w:lineRule="auto"/>
      </w:pPr>
      <w:r>
        <w:rPr/>
        <w:t xml:space="preserve">Engineering and support salaries</w:t>
      </w:r>
    </w:p>
    <w:p>
      <w:pPr>
        <w:numPr>
          <w:ilvl w:val="0"/>
          <w:numId w:val="36"/>
        </w:numPr>
        <w:spacing w:lineRule="auto"/>
      </w:pPr>
      <w:r>
        <w:rPr/>
        <w:t xml:space="preserve">Cloud infrastructure base load, observability, security tooling</w:t>
      </w:r>
    </w:p>
    <w:p>
      <w:pPr>
        <w:numPr>
          <w:ilvl w:val="0"/>
          <w:numId w:val="36"/>
        </w:numPr>
        <w:spacing w:lineRule="auto"/>
      </w:pPr>
      <w:r>
        <w:rPr/>
        <w:t xml:space="preserve">Sales/marketing and partner enablement</w:t>
      </w:r>
    </w:p>
    <w:p>
      <w:pPr>
        <w:spacing w:lineRule="auto"/>
      </w:pPr>
      <w:r>
        <w:rPr/>
        <w:t xml:space="preserve">Key formulas:</w:t>
      </w:r>
    </w:p>
    <w:p>
      <w:pPr>
        <w:numPr>
          <w:ilvl w:val="0"/>
          <w:numId w:val="37"/>
        </w:numPr>
        <w:spacing w:lineRule="auto"/>
      </w:pPr>
      <w:r>
        <w:rPr/>
        <w:t xml:space="preserve">Customer Lifetime Value (LTV) = ARPU × Gross Margin × Average Customer Lifetime (months)</w:t>
      </w:r>
    </w:p>
    <w:p>
      <w:pPr>
        <w:numPr>
          <w:ilvl w:val="0"/>
          <w:numId w:val="37"/>
        </w:numPr>
        <w:spacing w:lineRule="auto"/>
      </w:pPr>
      <w:r>
        <w:rPr/>
        <w:t xml:space="preserve">CAC Payback (months) = CAC ÷ (ARPU × Gross Margin)</w:t>
      </w:r>
    </w:p>
    <w:p>
      <w:pPr>
        <w:numPr>
          <w:ilvl w:val="0"/>
          <w:numId w:val="37"/>
        </w:numPr>
        <w:spacing w:lineRule="auto"/>
      </w:pPr>
      <w:r>
        <w:rPr/>
        <w:t xml:space="preserve">Contribution Margin per Shipment = Fee per shipment − Variable costs (SMS, Maps, Infra)</w:t>
      </w:r>
    </w:p>
    <w:p>
      <w:pPr>
        <w:spacing w:lineRule="auto"/>
      </w:pPr>
      <w:r>
        <w:rPr/>
        <w:t xml:space="preserve">Run sensitivity analyses for shipment volume, SMS attach rate, and support load.</w:t>
      </w:r>
    </w:p>
    <w:p>
      <w:pPr>
        <w:pStyle w:val="Heading2"/>
        <w:spacing w:lineRule="auto"/>
      </w:pPr>
      <w:r>
        <w:rPr/>
        <w:t xml:space="preserve">Competitive Landscape and Differentiation</w:t>
      </w:r>
    </w:p>
    <w:p>
      <w:pPr>
        <w:spacing w:lineRule="auto"/>
      </w:pPr>
      <w:r>
        <w:rPr/>
        <w:t xml:space="preserve">Categories:</w:t>
      </w:r>
    </w:p>
    <w:p>
      <w:pPr>
        <w:numPr>
          <w:ilvl w:val="0"/>
          <w:numId w:val="38"/>
        </w:numPr>
        <w:spacing w:lineRule="auto"/>
      </w:pPr>
      <w:r>
        <w:rPr/>
        <w:t xml:space="preserve">Global last-mile platforms (route/dispatch SaaS)</w:t>
      </w:r>
    </w:p>
    <w:p>
      <w:pPr>
        <w:numPr>
          <w:ilvl w:val="0"/>
          <w:numId w:val="38"/>
        </w:numPr>
        <w:spacing w:lineRule="auto"/>
      </w:pPr>
      <w:r>
        <w:rPr/>
        <w:t xml:space="preserve">Regional courier tools and legacy systems</w:t>
      </w:r>
    </w:p>
    <w:p>
      <w:pPr>
        <w:numPr>
          <w:ilvl w:val="0"/>
          <w:numId w:val="38"/>
        </w:numPr>
        <w:spacing w:lineRule="auto"/>
      </w:pPr>
      <w:r>
        <w:rPr/>
        <w:t xml:space="preserve">In-house spreadsheets/custom apps</w:t>
      </w:r>
    </w:p>
    <w:p>
      <w:pPr>
        <w:spacing w:lineRule="auto"/>
      </w:pPr>
      <w:r>
        <w:rPr/>
        <w:t xml:space="preserve">Differentiators:</w:t>
      </w:r>
    </w:p>
    <w:p>
      <w:pPr>
        <w:numPr>
          <w:ilvl w:val="0"/>
          <w:numId w:val="39"/>
        </w:numPr>
        <w:spacing w:lineRule="auto"/>
      </w:pPr>
      <w:r>
        <w:rPr/>
        <w:t xml:space="preserve">Arabic-first UX and RTL best practices</w:t>
      </w:r>
    </w:p>
    <w:p>
      <w:pPr>
        <w:numPr>
          <w:ilvl w:val="0"/>
          <w:numId w:val="39"/>
        </w:numPr>
        <w:spacing w:lineRule="auto"/>
      </w:pPr>
      <w:r>
        <w:rPr/>
        <w:t xml:space="preserve">Role-based dashboards tightly mapped to logistics operations</w:t>
      </w:r>
    </w:p>
    <w:p>
      <w:pPr>
        <w:numPr>
          <w:ilvl w:val="0"/>
          <w:numId w:val="39"/>
        </w:numPr>
        <w:spacing w:lineRule="auto"/>
      </w:pPr>
      <w:r>
        <w:rPr/>
        <w:t xml:space="preserve">Built-in observability and performance for peak windows (Redis, Nginx)</w:t>
      </w:r>
    </w:p>
    <w:p>
      <w:pPr>
        <w:numPr>
          <w:ilvl w:val="0"/>
          <w:numId w:val="39"/>
        </w:numPr>
        <w:spacing w:lineRule="auto"/>
      </w:pPr>
      <w:r>
        <w:rPr/>
        <w:t xml:space="preserve">Seamless integrations for MENA payment/SMS providers</w:t>
      </w:r>
    </w:p>
    <w:p>
      <w:pPr>
        <w:numPr>
          <w:ilvl w:val="0"/>
          <w:numId w:val="39"/>
        </w:numPr>
        <w:spacing w:lineRule="auto"/>
      </w:pPr>
      <w:r>
        <w:rPr/>
        <w:t xml:space="preserve">Zone-based pricing engine and manifest generation out of the box</w:t>
      </w:r>
    </w:p>
    <w:p>
      <w:pPr>
        <w:spacing w:lineRule="auto"/>
      </w:pPr>
      <w:r>
        <w:rPr/>
        <w:t xml:space="preserve">Barriers to entry:</w:t>
      </w:r>
    </w:p>
    <w:p>
      <w:pPr>
        <w:numPr>
          <w:ilvl w:val="0"/>
          <w:numId w:val="40"/>
        </w:numPr>
        <w:spacing w:lineRule="auto"/>
      </w:pPr>
      <w:r>
        <w:rPr/>
        <w:t xml:space="preserve">Localized UX and compliance alignment</w:t>
      </w:r>
    </w:p>
    <w:p>
      <w:pPr>
        <w:numPr>
          <w:ilvl w:val="0"/>
          <w:numId w:val="40"/>
        </w:numPr>
        <w:spacing w:lineRule="auto"/>
      </w:pPr>
      <w:r>
        <w:rPr/>
        <w:t xml:space="preserve">Integration depth with regional providers</w:t>
      </w:r>
    </w:p>
    <w:p>
      <w:pPr>
        <w:numPr>
          <w:ilvl w:val="0"/>
          <w:numId w:val="40"/>
        </w:numPr>
        <w:spacing w:lineRule="auto"/>
      </w:pPr>
      <w:r>
        <w:rPr/>
        <w:t xml:space="preserve">Operational know-how embedded in workflows and defaults</w:t>
      </w:r>
    </w:p>
    <w:p>
      <w:pPr>
        <w:pStyle w:val="Heading2"/>
        <w:spacing w:lineRule="auto"/>
      </w:pPr>
      <w:r>
        <w:rPr/>
        <w:t xml:space="preserve">Risks and Compliance</w:t>
      </w:r>
    </w:p>
    <w:p>
      <w:pPr>
        <w:spacing w:lineRule="auto"/>
      </w:pPr>
      <w:r>
        <w:rPr/>
        <w:t xml:space="preserve">Operational risks:</w:t>
      </w:r>
    </w:p>
    <w:p>
      <w:pPr>
        <w:numPr>
          <w:ilvl w:val="0"/>
          <w:numId w:val="41"/>
        </w:numPr>
        <w:spacing w:lineRule="auto"/>
      </w:pPr>
      <w:r>
        <w:rPr/>
        <w:t xml:space="preserve">Peak-hour scalability: mitigated via Redis caching and load testing</w:t>
      </w:r>
    </w:p>
    <w:p>
      <w:pPr>
        <w:numPr>
          <w:ilvl w:val="0"/>
          <w:numId w:val="41"/>
        </w:numPr>
        <w:spacing w:lineRule="auto"/>
      </w:pPr>
      <w:r>
        <w:rPr/>
        <w:t xml:space="preserve">SMS delivery reliability: multiple provider fallback strategy</w:t>
      </w:r>
    </w:p>
    <w:p>
      <w:pPr>
        <w:spacing w:lineRule="auto"/>
      </w:pPr>
      <w:r>
        <w:rPr/>
        <w:t xml:space="preserve">Security:</w:t>
      </w:r>
    </w:p>
    <w:p>
      <w:pPr>
        <w:numPr>
          <w:ilvl w:val="0"/>
          <w:numId w:val="42"/>
        </w:numPr>
        <w:spacing w:lineRule="auto"/>
      </w:pPr>
      <w:r>
        <w:rPr/>
        <w:t xml:space="preserve">Web security (OWASP Top 10 mitigations), JWT hardening, CSRF protection, BCrypt hashing</w:t>
      </w:r>
    </w:p>
    <w:p>
      <w:pPr>
        <w:numPr>
          <w:ilvl w:val="0"/>
          <w:numId w:val="42"/>
        </w:numPr>
        <w:spacing w:lineRule="auto"/>
      </w:pPr>
      <w:r>
        <w:rPr/>
        <w:t xml:space="preserve">Transport security with TLS; secrets management</w:t>
      </w:r>
    </w:p>
    <w:p>
      <w:pPr>
        <w:spacing w:lineRule="auto"/>
      </w:pPr>
      <w:r>
        <w:rPr/>
        <w:t xml:space="preserve">Regulatory/compliance:</w:t>
      </w:r>
    </w:p>
    <w:p>
      <w:pPr>
        <w:numPr>
          <w:ilvl w:val="0"/>
          <w:numId w:val="43"/>
        </w:numPr>
        <w:spacing w:lineRule="auto"/>
      </w:pPr>
      <w:r>
        <w:rPr/>
        <w:t xml:space="preserve">Data protection laws by country; data residency requirements</w:t>
      </w:r>
    </w:p>
    <w:p>
      <w:pPr>
        <w:numPr>
          <w:ilvl w:val="0"/>
          <w:numId w:val="43"/>
        </w:numPr>
        <w:spacing w:lineRule="auto"/>
      </w:pPr>
      <w:r>
        <w:rPr/>
        <w:t xml:space="preserve">PCI considerations if handling payments (prefer tokenization and PSP vaulting)</w:t>
      </w:r>
    </w:p>
    <w:p>
      <w:pPr>
        <w:numPr>
          <w:ilvl w:val="0"/>
          <w:numId w:val="43"/>
        </w:numPr>
        <w:spacing w:lineRule="auto"/>
      </w:pPr>
      <w:r>
        <w:rPr/>
        <w:t xml:space="preserve">Auditing and logging of access and shipment status changes</w:t>
      </w:r>
    </w:p>
    <w:p>
      <w:pPr>
        <w:spacing w:lineRule="auto"/>
      </w:pPr>
      <w:r>
        <w:rPr/>
        <w:t xml:space="preserve">Mitigation:</w:t>
      </w:r>
    </w:p>
    <w:p>
      <w:pPr>
        <w:numPr>
          <w:ilvl w:val="0"/>
          <w:numId w:val="44"/>
        </w:numPr>
        <w:spacing w:lineRule="auto"/>
      </w:pPr>
      <w:r>
        <w:rPr/>
        <w:t xml:space="preserve">Periodic security scans and penetration tests</w:t>
      </w:r>
    </w:p>
    <w:p>
      <w:pPr>
        <w:numPr>
          <w:ilvl w:val="0"/>
          <w:numId w:val="44"/>
        </w:numPr>
        <w:spacing w:lineRule="auto"/>
      </w:pPr>
      <w:r>
        <w:rPr/>
        <w:t xml:space="preserve">Role-based access reviews; least privilege</w:t>
      </w:r>
    </w:p>
    <w:p>
      <w:pPr>
        <w:numPr>
          <w:ilvl w:val="0"/>
          <w:numId w:val="44"/>
        </w:numPr>
        <w:spacing w:lineRule="auto"/>
      </w:pPr>
      <w:r>
        <w:rPr/>
        <w:t xml:space="preserve">Compliance roadmap and documentation</w:t>
      </w:r>
    </w:p>
    <w:p>
      <w:pPr>
        <w:pStyle w:val="Heading2"/>
        <w:spacing w:lineRule="auto"/>
      </w:pPr>
      <w:r>
        <w:rPr/>
        <w:t xml:space="preserve">KPIs and Analytics</w:t>
      </w:r>
    </w:p>
    <w:p>
      <w:pPr>
        <w:spacing w:lineRule="auto"/>
      </w:pPr>
      <w:r>
        <w:rPr/>
        <w:t xml:space="preserve">Operations:</w:t>
      </w:r>
    </w:p>
    <w:p>
      <w:pPr>
        <w:numPr>
          <w:ilvl w:val="0"/>
          <w:numId w:val="45"/>
        </w:numPr>
        <w:spacing w:lineRule="auto"/>
      </w:pPr>
      <w:r>
        <w:rPr/>
        <w:t xml:space="preserve">On-time delivery rate; average pickup-to-delivery time; failed delivery rate</w:t>
      </w:r>
    </w:p>
    <w:p>
      <w:pPr>
        <w:numPr>
          <w:ilvl w:val="0"/>
          <w:numId w:val="45"/>
        </w:numPr>
        <w:spacing w:lineRule="auto"/>
      </w:pPr>
      <w:r>
        <w:rPr/>
        <w:t xml:space="preserve">Courier utilization; first-attempt delivery success</w:t>
      </w:r>
    </w:p>
    <w:p>
      <w:pPr>
        <w:numPr>
          <w:ilvl w:val="0"/>
          <w:numId w:val="45"/>
        </w:numPr>
        <w:spacing w:lineRule="auto"/>
      </w:pPr>
      <w:r>
        <w:rPr/>
        <w:t xml:space="preserve">Manifest cycle time; warehouse throughput</w:t>
      </w:r>
    </w:p>
    <w:p>
      <w:pPr>
        <w:spacing w:lineRule="auto"/>
      </w:pPr>
      <w:r>
        <w:rPr/>
        <w:t xml:space="preserve">Business:</w:t>
      </w:r>
    </w:p>
    <w:p>
      <w:pPr>
        <w:numPr>
          <w:ilvl w:val="0"/>
          <w:numId w:val="46"/>
        </w:numPr>
        <w:spacing w:lineRule="auto"/>
      </w:pPr>
      <w:r>
        <w:rPr/>
        <w:t xml:space="preserve">Shipments per active customer; ARPU; gross margin; LTV/CAC; churn</w:t>
      </w:r>
    </w:p>
    <w:p>
      <w:pPr>
        <w:numPr>
          <w:ilvl w:val="0"/>
          <w:numId w:val="46"/>
        </w:numPr>
        <w:spacing w:lineRule="auto"/>
      </w:pPr>
      <w:r>
        <w:rPr/>
        <w:t xml:space="preserve">SMS opt-in and delivery rate; NPS/CSAT</w:t>
      </w:r>
    </w:p>
    <w:p>
      <w:pPr>
        <w:spacing w:lineRule="auto"/>
      </w:pPr>
      <w:r>
        <w:rPr/>
        <w:t xml:space="preserve">Reliability:</w:t>
      </w:r>
    </w:p>
    <w:p>
      <w:pPr>
        <w:numPr>
          <w:ilvl w:val="0"/>
          <w:numId w:val="47"/>
        </w:numPr>
        <w:spacing w:lineRule="auto"/>
      </w:pPr>
      <w:r>
        <w:rPr/>
        <w:t xml:space="preserve">Uptime; latency percentiles; error rates; incident MTTR</w:t>
      </w:r>
    </w:p>
    <w:p>
      <w:pPr>
        <w:spacing w:lineRule="auto"/>
      </w:pPr>
      <w:r>
        <w:rPr/>
        <w:t xml:space="preserve">Set alert thresholds and dashboards in Prometheus/Grafana; define weekly ops review cadence.</w:t>
      </w:r>
    </w:p>
    <w:p>
      <w:pPr>
        <w:pStyle w:val="Heading2"/>
        <w:spacing w:lineRule="auto"/>
      </w:pPr>
      <w:r>
        <w:rPr/>
        <w:t xml:space="preserve">Financial Projections Framework</w:t>
      </w:r>
    </w:p>
    <w:p>
      <w:pPr>
        <w:spacing w:lineRule="auto"/>
      </w:pPr>
      <w:r>
        <w:rPr/>
        <w:t xml:space="preserve">Build scenarios (Conservative, Base, Aggressive) with:</w:t>
      </w:r>
    </w:p>
    <w:p>
      <w:pPr>
        <w:numPr>
          <w:ilvl w:val="0"/>
          <w:numId w:val="48"/>
        </w:numPr>
        <w:spacing w:lineRule="auto"/>
      </w:pPr>
      <w:r>
        <w:rPr/>
        <w:t xml:space="preserve">Customer acquisition per channel and conversion rates</w:t>
      </w:r>
    </w:p>
    <w:p>
      <w:pPr>
        <w:numPr>
          <w:ilvl w:val="0"/>
          <w:numId w:val="48"/>
        </w:numPr>
        <w:spacing w:lineRule="auto"/>
      </w:pPr>
      <w:r>
        <w:rPr/>
        <w:t xml:space="preserve">Average shipments per customer per month and growth</w:t>
      </w:r>
    </w:p>
    <w:p>
      <w:pPr>
        <w:numPr>
          <w:ilvl w:val="0"/>
          <w:numId w:val="48"/>
        </w:numPr>
        <w:spacing w:lineRule="auto"/>
      </w:pPr>
      <w:r>
        <w:rPr/>
        <w:t xml:space="preserve">Attach rates for SMS/add-ons and payment margin</w:t>
      </w:r>
    </w:p>
    <w:p>
      <w:pPr>
        <w:numPr>
          <w:ilvl w:val="0"/>
          <w:numId w:val="48"/>
        </w:numPr>
        <w:spacing w:lineRule="auto"/>
      </w:pPr>
      <w:r>
        <w:rPr/>
        <w:t xml:space="preserve">Churn and expansion (seat growth, tier upgrades)</w:t>
      </w:r>
    </w:p>
    <w:p>
      <w:pPr>
        <w:spacing w:lineRule="auto"/>
      </w:pPr>
      <w:r>
        <w:rPr/>
        <w:t xml:space="preserve">Model structure:</w:t>
      </w:r>
    </w:p>
    <w:p>
      <w:pPr>
        <w:numPr>
          <w:ilvl w:val="0"/>
          <w:numId w:val="49"/>
        </w:numPr>
        <w:spacing w:lineRule="auto"/>
      </w:pPr>
      <w:r>
        <w:rPr/>
        <w:t xml:space="preserve">Revenue = Subscription + Per-shipment fees + Add-ons + Payment margin</w:t>
      </w:r>
    </w:p>
    <w:p>
      <w:pPr>
        <w:numPr>
          <w:ilvl w:val="0"/>
          <w:numId w:val="49"/>
        </w:numPr>
        <w:spacing w:lineRule="auto"/>
      </w:pPr>
      <w:r>
        <w:rPr/>
        <w:t xml:space="preserve">COGS = Cloud base + Variable infra + SMS/Maps + Support variable + PSP costs</w:t>
      </w:r>
    </w:p>
    <w:p>
      <w:pPr>
        <w:numPr>
          <w:ilvl w:val="0"/>
          <w:numId w:val="49"/>
        </w:numPr>
        <w:spacing w:lineRule="auto"/>
      </w:pPr>
      <w:r>
        <w:rPr/>
        <w:t xml:space="preserve">Gross Margin = Revenue − COGS</w:t>
      </w:r>
    </w:p>
    <w:p>
      <w:pPr>
        <w:numPr>
          <w:ilvl w:val="0"/>
          <w:numId w:val="49"/>
        </w:numPr>
        <w:spacing w:lineRule="auto"/>
      </w:pPr>
      <w:r>
        <w:rPr/>
        <w:t xml:space="preserve">Opex = R&amp;D + S&amp;M + G&amp;A</w:t>
      </w:r>
    </w:p>
    <w:p>
      <w:pPr>
        <w:numPr>
          <w:ilvl w:val="0"/>
          <w:numId w:val="49"/>
        </w:numPr>
        <w:spacing w:lineRule="auto"/>
      </w:pPr>
      <w:r>
        <w:rPr/>
        <w:t xml:space="preserve">EBITDA = Gross Margin − Opex</w:t>
      </w:r>
    </w:p>
    <w:p>
      <w:pPr>
        <w:spacing w:lineRule="auto"/>
      </w:pPr>
      <w:r>
        <w:rPr/>
        <w:t xml:space="preserve">Include an assumptions register and benchmark sanity checks during planning.</w:t>
      </w:r>
    </w:p>
    <w:p>
      <w:pPr>
        <w:pStyle w:val="Heading2"/>
        <w:spacing w:lineRule="auto"/>
      </w:pPr>
      <w:r>
        <w:rPr/>
        <w:t xml:space="preserve">Roadmap and Milestones</w:t>
      </w:r>
    </w:p>
    <w:p>
      <w:pPr>
        <w:spacing w:lineRule="auto"/>
      </w:pPr>
      <w:r>
        <w:rPr/>
        <w:t xml:space="preserve">0–3 months:</w:t>
      </w:r>
    </w:p>
    <w:p>
      <w:pPr>
        <w:numPr>
          <w:ilvl w:val="0"/>
          <w:numId w:val="50"/>
        </w:numPr>
        <w:spacing w:lineRule="auto"/>
      </w:pPr>
      <w:r>
        <w:rPr/>
        <w:t xml:space="preserve">Harden MVP: authentication, RBAC, CSRF, SSL, observability dashboards</w:t>
      </w:r>
    </w:p>
    <w:p>
      <w:pPr>
        <w:numPr>
          <w:ilvl w:val="0"/>
          <w:numId w:val="50"/>
        </w:numPr>
        <w:spacing w:lineRule="auto"/>
      </w:pPr>
      <w:r>
        <w:rPr/>
        <w:t xml:space="preserve">Merchant self-serve onboarding and docs in Arabic/English</w:t>
      </w:r>
    </w:p>
    <w:p>
      <w:pPr>
        <w:numPr>
          <w:ilvl w:val="0"/>
          <w:numId w:val="50"/>
        </w:numPr>
        <w:spacing w:lineRule="auto"/>
      </w:pPr>
      <w:r>
        <w:rPr/>
        <w:t xml:space="preserve">Zone-based pricing templates and manifest v1; 99.5% SLA</w:t>
      </w:r>
    </w:p>
    <w:p>
      <w:pPr>
        <w:spacing w:lineRule="auto"/>
      </w:pPr>
      <w:r>
        <w:rPr/>
        <w:t xml:space="preserve">3–6 months:</w:t>
      </w:r>
    </w:p>
    <w:p>
      <w:pPr>
        <w:numPr>
          <w:ilvl w:val="0"/>
          <w:numId w:val="51"/>
        </w:numPr>
        <w:spacing w:lineRule="auto"/>
      </w:pPr>
      <w:r>
        <w:rPr/>
        <w:t xml:space="preserve">Billing and metering; subscription and per-shipment pricing; invoice exports</w:t>
      </w:r>
    </w:p>
    <w:p>
      <w:pPr>
        <w:numPr>
          <w:ilvl w:val="0"/>
          <w:numId w:val="51"/>
        </w:numPr>
        <w:spacing w:lineRule="auto"/>
      </w:pPr>
      <w:r>
        <w:rPr/>
        <w:t xml:space="preserve">Advanced analytics and operational reports; SLA enforcement features</w:t>
      </w:r>
    </w:p>
    <w:p>
      <w:pPr>
        <w:numPr>
          <w:ilvl w:val="0"/>
          <w:numId w:val="51"/>
        </w:numPr>
        <w:spacing w:lineRule="auto"/>
      </w:pPr>
      <w:r>
        <w:rPr/>
        <w:t xml:space="preserve">Partner program v1 with enablement content; first reseller agreements</w:t>
      </w:r>
    </w:p>
    <w:p>
      <w:pPr>
        <w:spacing w:lineRule="auto"/>
      </w:pPr>
      <w:r>
        <w:rPr/>
        <w:t xml:space="preserve">6–12 months:</w:t>
      </w:r>
    </w:p>
    <w:p>
      <w:pPr>
        <w:numPr>
          <w:ilvl w:val="0"/>
          <w:numId w:val="52"/>
        </w:numPr>
        <w:spacing w:lineRule="auto"/>
      </w:pPr>
      <w:r>
        <w:rPr/>
        <w:t xml:space="preserve">Route optimization module and courier mobile enhancements (POD capture)</w:t>
      </w:r>
    </w:p>
    <w:p>
      <w:pPr>
        <w:numPr>
          <w:ilvl w:val="0"/>
          <w:numId w:val="52"/>
        </w:numPr>
        <w:spacing w:lineRule="auto"/>
      </w:pPr>
      <w:r>
        <w:rPr/>
        <w:t xml:space="preserve">Marketplace plugins and payment gateway co-sell</w:t>
      </w:r>
    </w:p>
    <w:p>
      <w:pPr>
        <w:numPr>
          <w:ilvl w:val="0"/>
          <w:numId w:val="52"/>
        </w:numPr>
        <w:spacing w:lineRule="auto"/>
      </w:pPr>
      <w:r>
        <w:rPr/>
        <w:t xml:space="preserve">Enterprise features: SSO/SAML, audit packs, 99.9% SLA; regional data residency options</w:t>
      </w:r>
    </w:p>
    <w:p>
      <w:pPr>
        <w:pStyle w:val="Heading2"/>
        <w:spacing w:lineRule="auto"/>
      </w:pPr>
      <w:r>
        <w:rPr/>
        <w:t xml:space="preserve">Appendices</w:t>
      </w:r>
    </w:p>
    <w:p>
      <w:pPr>
        <w:spacing w:lineRule="auto"/>
      </w:pPr>
      <w:r>
        <w:rPr/>
        <w:t xml:space="preserve">Shipment Lifecycle:</w:t>
      </w:r>
    </w:p>
    <w:p>
      <w:pPr>
        <w:numPr>
          <w:ilvl w:val="0"/>
          <w:numId w:val="53"/>
        </w:numPr>
        <w:spacing w:lineRule="auto"/>
      </w:pPr>
      <w:r>
        <w:rPr/>
        <w:t xml:space="preserve">CREATED → PICKED_UP → IN_TRANSIT → DELIVERED; exception handling sub-states</w:t>
      </w:r>
    </w:p>
    <w:p>
      <w:pPr>
        <w:spacing w:lineRule="auto"/>
      </w:pPr>
      <w:r>
        <w:rPr/>
        <w:t xml:space="preserve">Processes and SLAs:</w:t>
      </w:r>
    </w:p>
    <w:p>
      <w:pPr>
        <w:numPr>
          <w:ilvl w:val="0"/>
          <w:numId w:val="54"/>
        </w:numPr>
        <w:spacing w:lineRule="auto"/>
      </w:pPr>
      <w:r>
        <w:rPr/>
        <w:t xml:space="preserve">Incident management flow; change management; support tiers</w:t>
      </w:r>
    </w:p>
    <w:p>
      <w:pPr>
        <w:spacing w:lineRule="auto"/>
      </w:pPr>
      <w:r>
        <w:rPr/>
        <w:t xml:space="preserve">Data Governance:</w:t>
      </w:r>
    </w:p>
    <w:p>
      <w:pPr>
        <w:numPr>
          <w:ilvl w:val="0"/>
          <w:numId w:val="55"/>
        </w:numPr>
        <w:spacing w:lineRule="auto"/>
      </w:pPr>
      <w:r>
        <w:rPr/>
        <w:t xml:space="preserve">Data classification; retention; access controls; encryption in transit and at rest</w:t>
      </w:r>
    </w:p>
    <w:p>
      <w:pPr>
        <w:spacing w:lineRule="auto"/>
      </w:pPr>
      <w:r>
        <w:rPr/>
        <w:t xml:space="preserve">Security Architecture Summary:</w:t>
      </w:r>
    </w:p>
    <w:p>
      <w:pPr>
        <w:numPr>
          <w:ilvl w:val="0"/>
          <w:numId w:val="56"/>
        </w:numPr>
        <w:spacing w:lineRule="auto"/>
      </w:pPr>
      <w:r>
        <w:rPr/>
        <w:t xml:space="preserve">JWT flow, CSRF protections, password hashing, TLS termination at Nginx, monitoring</w:t>
      </w:r>
    </w:p>
    <w:p>
      <w:pPr>
        <w:pStyle w:val="Heading2"/>
        <w:spacing w:lineRule="auto"/>
      </w:pPr>
      <w:r>
        <w:rPr/>
        <w:t xml:space="preserve">Assumptions and Validation Plan</w:t>
      </w:r>
    </w:p>
    <w:p>
      <w:pPr>
        <w:numPr>
          <w:ilvl w:val="0"/>
          <w:numId w:val="57"/>
        </w:numPr>
        <w:spacing w:lineRule="auto"/>
      </w:pPr>
      <w:r>
        <w:rPr/>
        <w:t xml:space="preserve">Validate average shipment volumes and attach rates via pilot cohorts.</w:t>
      </w:r>
    </w:p>
    <w:p>
      <w:pPr>
        <w:numPr>
          <w:ilvl w:val="0"/>
          <w:numId w:val="57"/>
        </w:numPr>
        <w:spacing w:lineRule="auto"/>
      </w:pPr>
      <w:r>
        <w:rPr/>
        <w:t xml:space="preserve">A/B test notification strategy to optimize SMS cost vs. customer satisfaction.</w:t>
      </w:r>
    </w:p>
    <w:p>
      <w:pPr>
        <w:numPr>
          <w:ilvl w:val="0"/>
          <w:numId w:val="57"/>
        </w:numPr>
        <w:spacing w:lineRule="auto"/>
      </w:pPr>
      <w:r>
        <w:rPr/>
        <w:t xml:space="preserve">Measure courier app friction via task completion time and error events.</w:t>
      </w:r>
    </w:p>
    <w:p>
      <w:pPr>
        <w:numPr>
          <w:ilvl w:val="0"/>
          <w:numId w:val="57"/>
        </w:numPr>
        <w:spacing w:lineRule="auto"/>
      </w:pPr>
      <w:r>
        <w:rPr/>
        <w:t xml:space="preserve">Iterate pricing with willingness-to-pay interviews and cohort expansion analysis.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Noto Sans Arab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ans Arabic"/>
        <a:ea typeface="Noto Sans Arabic"/>
        <a:cs typeface=""/>
      </a:majorFont>
      <a:minorFont>
        <a:latin typeface="Noto Sans Arabic"/>
        <a:ea typeface="Noto Sans Arab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2025-10-18T20:18:36.654Z</dcterms:created>
  <dcterms:modified xsi:type="dcterms:W3CDTF">2025-10-18T20:18:36.654Z</dcterms:modified>
</cp:coreProperties>
</file>