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384CB" w14:textId="77777777" w:rsidR="00895937" w:rsidRDefault="00000000">
      <w:pPr>
        <w:spacing w:before="1400"/>
      </w:pPr>
      <w:r>
        <w:rPr>
          <w:color w:val="59607A"/>
          <w:sz w:val="30"/>
          <w:szCs w:val="30"/>
        </w:rPr>
        <w:t>Case Study 2</w:t>
      </w:r>
    </w:p>
    <w:p w14:paraId="21FA1579" w14:textId="77777777" w:rsidR="00895937" w:rsidRDefault="00000000">
      <w:pPr>
        <w:spacing w:after="60"/>
      </w:pPr>
      <w:r>
        <w:rPr>
          <w:b/>
          <w:bCs/>
          <w:color w:val="1E2761"/>
          <w:sz w:val="60"/>
          <w:szCs w:val="60"/>
        </w:rPr>
        <w:t>SIOP Forecast Reporting</w:t>
      </w:r>
    </w:p>
    <w:p w14:paraId="12167F81" w14:textId="77777777" w:rsidR="00895937" w:rsidRDefault="00000000">
      <w:pPr>
        <w:pBdr>
          <w:bottom w:val="single" w:sz="12" w:space="6" w:color="1E2761"/>
        </w:pBdr>
        <w:spacing w:after="40"/>
      </w:pPr>
      <w:r>
        <w:rPr>
          <w:color w:val="2E3A6B"/>
          <w:sz w:val="26"/>
          <w:szCs w:val="26"/>
        </w:rPr>
        <w:t>Data Transformation, KPI Modelling &amp; Dashboard Approach</w:t>
      </w:r>
    </w:p>
    <w:p w14:paraId="0426225A" w14:textId="77777777" w:rsidR="00895937" w:rsidRDefault="00000000">
      <w:pPr>
        <w:spacing w:before="200"/>
      </w:pPr>
      <w:r>
        <w:rPr>
          <w:color w:val="59607A"/>
        </w:rPr>
        <w:t>Internship Program Assessment – June 2026</w:t>
      </w:r>
    </w:p>
    <w:p w14:paraId="460089CC" w14:textId="77777777" w:rsidR="00895937" w:rsidRDefault="00000000">
      <w:pPr>
        <w:spacing w:after="400"/>
      </w:pPr>
      <w:r>
        <w:rPr>
          <w:i/>
          <w:iCs/>
          <w:color w:val="59607A"/>
          <w:sz w:val="20"/>
          <w:szCs w:val="20"/>
        </w:rPr>
        <w:t>Deliverables: Power BI report (.pbix) + this approach document</w:t>
      </w:r>
    </w:p>
    <w:p w14:paraId="1DB32C4E" w14:textId="77777777" w:rsidR="00895937" w:rsidRDefault="00000000">
      <w:pPr>
        <w:pStyle w:val="Heading1"/>
      </w:pPr>
      <w:bookmarkStart w:id="0" w:name="_Toc232368007"/>
      <w:r>
        <w:t>Table of Contents</w:t>
      </w:r>
      <w:bookmarkEnd w:id="0"/>
    </w:p>
    <w:sdt>
      <w:sdtPr>
        <w:alias w:val="Table of Contents"/>
        <w:id w:val="621271973"/>
      </w:sdtPr>
      <w:sdtContent>
        <w:p w14:paraId="7DB773F7" w14:textId="77777777" w:rsidR="009D75D3" w:rsidRDefault="00000000">
          <w:pPr>
            <w:pStyle w:val="TOC1"/>
            <w:tabs>
              <w:tab w:val="right" w:leader="dot" w:pos="9350"/>
            </w:tabs>
            <w:rPr>
              <w:noProof/>
            </w:rPr>
          </w:pPr>
          <w:r>
            <w:fldChar w:fldCharType="begin"/>
          </w:r>
          <w:r>
            <w:instrText>TOC \h \o "1-2"</w:instrText>
          </w:r>
          <w:r>
            <w:fldChar w:fldCharType="separate"/>
          </w:r>
          <w:hyperlink w:anchor="_Toc232368007" w:history="1">
            <w:r w:rsidR="009D75D3" w:rsidRPr="00E85585">
              <w:rPr>
                <w:rStyle w:val="Hyperlink"/>
                <w:noProof/>
              </w:rPr>
              <w:t>Table of Contents</w:t>
            </w:r>
            <w:r w:rsidR="009D75D3">
              <w:rPr>
                <w:noProof/>
              </w:rPr>
              <w:tab/>
            </w:r>
            <w:r w:rsidR="009D75D3">
              <w:rPr>
                <w:noProof/>
              </w:rPr>
              <w:fldChar w:fldCharType="begin"/>
            </w:r>
            <w:r w:rsidR="009D75D3">
              <w:rPr>
                <w:noProof/>
              </w:rPr>
              <w:instrText xml:space="preserve"> PAGEREF _Toc232368007 \h </w:instrText>
            </w:r>
            <w:r w:rsidR="009D75D3">
              <w:rPr>
                <w:noProof/>
              </w:rPr>
            </w:r>
            <w:r w:rsidR="009D75D3">
              <w:rPr>
                <w:noProof/>
              </w:rPr>
              <w:fldChar w:fldCharType="separate"/>
            </w:r>
            <w:r w:rsidR="009D75D3">
              <w:rPr>
                <w:noProof/>
              </w:rPr>
              <w:t>1</w:t>
            </w:r>
            <w:r w:rsidR="009D75D3">
              <w:rPr>
                <w:noProof/>
              </w:rPr>
              <w:fldChar w:fldCharType="end"/>
            </w:r>
          </w:hyperlink>
        </w:p>
        <w:p w14:paraId="01E8BD73" w14:textId="77777777" w:rsidR="009D75D3" w:rsidRDefault="009D75D3">
          <w:pPr>
            <w:pStyle w:val="TOC1"/>
            <w:tabs>
              <w:tab w:val="right" w:leader="dot" w:pos="9350"/>
            </w:tabs>
            <w:rPr>
              <w:noProof/>
            </w:rPr>
          </w:pPr>
          <w:hyperlink w:anchor="_Toc232368008" w:history="1">
            <w:r w:rsidRPr="00E85585">
              <w:rPr>
                <w:rStyle w:val="Hyperlink"/>
                <w:noProof/>
              </w:rPr>
              <w:t>Executive Summary</w:t>
            </w:r>
            <w:r>
              <w:rPr>
                <w:noProof/>
              </w:rPr>
              <w:tab/>
            </w:r>
            <w:r>
              <w:rPr>
                <w:noProof/>
              </w:rPr>
              <w:fldChar w:fldCharType="begin"/>
            </w:r>
            <w:r>
              <w:rPr>
                <w:noProof/>
              </w:rPr>
              <w:instrText xml:space="preserve"> PAGEREF _Toc232368008 \h </w:instrText>
            </w:r>
            <w:r>
              <w:rPr>
                <w:noProof/>
              </w:rPr>
            </w:r>
            <w:r>
              <w:rPr>
                <w:noProof/>
              </w:rPr>
              <w:fldChar w:fldCharType="separate"/>
            </w:r>
            <w:r>
              <w:rPr>
                <w:noProof/>
              </w:rPr>
              <w:t>2</w:t>
            </w:r>
            <w:r>
              <w:rPr>
                <w:noProof/>
              </w:rPr>
              <w:fldChar w:fldCharType="end"/>
            </w:r>
          </w:hyperlink>
        </w:p>
        <w:p w14:paraId="58B89BD9" w14:textId="77777777" w:rsidR="009D75D3" w:rsidRDefault="009D75D3">
          <w:pPr>
            <w:pStyle w:val="TOC1"/>
            <w:tabs>
              <w:tab w:val="right" w:leader="dot" w:pos="9350"/>
            </w:tabs>
            <w:rPr>
              <w:noProof/>
            </w:rPr>
          </w:pPr>
          <w:hyperlink w:anchor="_Toc232368009" w:history="1">
            <w:r w:rsidRPr="00E85585">
              <w:rPr>
                <w:rStyle w:val="Hyperlink"/>
                <w:noProof/>
              </w:rPr>
              <w:t>1. Problem Understanding</w:t>
            </w:r>
            <w:r>
              <w:rPr>
                <w:noProof/>
              </w:rPr>
              <w:tab/>
            </w:r>
            <w:r>
              <w:rPr>
                <w:noProof/>
              </w:rPr>
              <w:fldChar w:fldCharType="begin"/>
            </w:r>
            <w:r>
              <w:rPr>
                <w:noProof/>
              </w:rPr>
              <w:instrText xml:space="preserve"> PAGEREF _Toc232368009 \h </w:instrText>
            </w:r>
            <w:r>
              <w:rPr>
                <w:noProof/>
              </w:rPr>
            </w:r>
            <w:r>
              <w:rPr>
                <w:noProof/>
              </w:rPr>
              <w:fldChar w:fldCharType="separate"/>
            </w:r>
            <w:r>
              <w:rPr>
                <w:noProof/>
              </w:rPr>
              <w:t>2</w:t>
            </w:r>
            <w:r>
              <w:rPr>
                <w:noProof/>
              </w:rPr>
              <w:fldChar w:fldCharType="end"/>
            </w:r>
          </w:hyperlink>
        </w:p>
        <w:p w14:paraId="3D3FC115" w14:textId="77777777" w:rsidR="009D75D3" w:rsidRDefault="009D75D3">
          <w:pPr>
            <w:pStyle w:val="TOC1"/>
            <w:tabs>
              <w:tab w:val="right" w:leader="dot" w:pos="9350"/>
            </w:tabs>
            <w:rPr>
              <w:noProof/>
            </w:rPr>
          </w:pPr>
          <w:hyperlink w:anchor="_Toc232368010" w:history="1">
            <w:r w:rsidRPr="00E85585">
              <w:rPr>
                <w:rStyle w:val="Hyperlink"/>
                <w:noProof/>
              </w:rPr>
              <w:t>2. Dataset Overview</w:t>
            </w:r>
            <w:r>
              <w:rPr>
                <w:noProof/>
              </w:rPr>
              <w:tab/>
            </w:r>
            <w:r>
              <w:rPr>
                <w:noProof/>
              </w:rPr>
              <w:fldChar w:fldCharType="begin"/>
            </w:r>
            <w:r>
              <w:rPr>
                <w:noProof/>
              </w:rPr>
              <w:instrText xml:space="preserve"> PAGEREF _Toc232368010 \h </w:instrText>
            </w:r>
            <w:r>
              <w:rPr>
                <w:noProof/>
              </w:rPr>
            </w:r>
            <w:r>
              <w:rPr>
                <w:noProof/>
              </w:rPr>
              <w:fldChar w:fldCharType="separate"/>
            </w:r>
            <w:r>
              <w:rPr>
                <w:noProof/>
              </w:rPr>
              <w:t>2</w:t>
            </w:r>
            <w:r>
              <w:rPr>
                <w:noProof/>
              </w:rPr>
              <w:fldChar w:fldCharType="end"/>
            </w:r>
          </w:hyperlink>
        </w:p>
        <w:p w14:paraId="51DF06AA" w14:textId="77777777" w:rsidR="009D75D3" w:rsidRDefault="009D75D3">
          <w:pPr>
            <w:pStyle w:val="TOC1"/>
            <w:tabs>
              <w:tab w:val="right" w:leader="dot" w:pos="9350"/>
            </w:tabs>
            <w:rPr>
              <w:noProof/>
            </w:rPr>
          </w:pPr>
          <w:hyperlink w:anchor="_Toc232368011" w:history="1">
            <w:r w:rsidRPr="00E85585">
              <w:rPr>
                <w:rStyle w:val="Hyperlink"/>
                <w:noProof/>
              </w:rPr>
              <w:t>3. Solution Approach &amp; Architecture</w:t>
            </w:r>
            <w:r>
              <w:rPr>
                <w:noProof/>
              </w:rPr>
              <w:tab/>
            </w:r>
            <w:r>
              <w:rPr>
                <w:noProof/>
              </w:rPr>
              <w:fldChar w:fldCharType="begin"/>
            </w:r>
            <w:r>
              <w:rPr>
                <w:noProof/>
              </w:rPr>
              <w:instrText xml:space="preserve"> PAGEREF _Toc232368011 \h </w:instrText>
            </w:r>
            <w:r>
              <w:rPr>
                <w:noProof/>
              </w:rPr>
            </w:r>
            <w:r>
              <w:rPr>
                <w:noProof/>
              </w:rPr>
              <w:fldChar w:fldCharType="separate"/>
            </w:r>
            <w:r>
              <w:rPr>
                <w:noProof/>
              </w:rPr>
              <w:t>2</w:t>
            </w:r>
            <w:r>
              <w:rPr>
                <w:noProof/>
              </w:rPr>
              <w:fldChar w:fldCharType="end"/>
            </w:r>
          </w:hyperlink>
        </w:p>
        <w:p w14:paraId="740F7EE6" w14:textId="77777777" w:rsidR="009D75D3" w:rsidRDefault="009D75D3">
          <w:pPr>
            <w:pStyle w:val="TOC1"/>
            <w:tabs>
              <w:tab w:val="right" w:leader="dot" w:pos="9350"/>
            </w:tabs>
            <w:rPr>
              <w:noProof/>
            </w:rPr>
          </w:pPr>
          <w:hyperlink w:anchor="_Toc232368012" w:history="1">
            <w:r w:rsidRPr="00E85585">
              <w:rPr>
                <w:rStyle w:val="Hyperlink"/>
                <w:noProof/>
              </w:rPr>
              <w:t>4. Data Transformation (Power Query)</w:t>
            </w:r>
            <w:r>
              <w:rPr>
                <w:noProof/>
              </w:rPr>
              <w:tab/>
            </w:r>
            <w:r>
              <w:rPr>
                <w:noProof/>
              </w:rPr>
              <w:fldChar w:fldCharType="begin"/>
            </w:r>
            <w:r>
              <w:rPr>
                <w:noProof/>
              </w:rPr>
              <w:instrText xml:space="preserve"> PAGEREF _Toc232368012 \h </w:instrText>
            </w:r>
            <w:r>
              <w:rPr>
                <w:noProof/>
              </w:rPr>
            </w:r>
            <w:r>
              <w:rPr>
                <w:noProof/>
              </w:rPr>
              <w:fldChar w:fldCharType="separate"/>
            </w:r>
            <w:r>
              <w:rPr>
                <w:noProof/>
              </w:rPr>
              <w:t>3</w:t>
            </w:r>
            <w:r>
              <w:rPr>
                <w:noProof/>
              </w:rPr>
              <w:fldChar w:fldCharType="end"/>
            </w:r>
          </w:hyperlink>
        </w:p>
        <w:p w14:paraId="118420EA" w14:textId="77777777" w:rsidR="009D75D3" w:rsidRDefault="009D75D3">
          <w:pPr>
            <w:pStyle w:val="TOC1"/>
            <w:tabs>
              <w:tab w:val="right" w:leader="dot" w:pos="9350"/>
            </w:tabs>
            <w:rPr>
              <w:noProof/>
            </w:rPr>
          </w:pPr>
          <w:hyperlink w:anchor="_Toc232368013" w:history="1">
            <w:r w:rsidRPr="00E85585">
              <w:rPr>
                <w:rStyle w:val="Hyperlink"/>
                <w:noProof/>
              </w:rPr>
              <w:t>5. Merging Actuals (the critical data-quality step)</w:t>
            </w:r>
            <w:r>
              <w:rPr>
                <w:noProof/>
              </w:rPr>
              <w:tab/>
            </w:r>
            <w:r>
              <w:rPr>
                <w:noProof/>
              </w:rPr>
              <w:fldChar w:fldCharType="begin"/>
            </w:r>
            <w:r>
              <w:rPr>
                <w:noProof/>
              </w:rPr>
              <w:instrText xml:space="preserve"> PAGEREF _Toc232368013 \h </w:instrText>
            </w:r>
            <w:r>
              <w:rPr>
                <w:noProof/>
              </w:rPr>
            </w:r>
            <w:r>
              <w:rPr>
                <w:noProof/>
              </w:rPr>
              <w:fldChar w:fldCharType="separate"/>
            </w:r>
            <w:r>
              <w:rPr>
                <w:noProof/>
              </w:rPr>
              <w:t>3</w:t>
            </w:r>
            <w:r>
              <w:rPr>
                <w:noProof/>
              </w:rPr>
              <w:fldChar w:fldCharType="end"/>
            </w:r>
          </w:hyperlink>
        </w:p>
        <w:p w14:paraId="14EF5F17" w14:textId="77777777" w:rsidR="009D75D3" w:rsidRDefault="009D75D3">
          <w:pPr>
            <w:pStyle w:val="TOC1"/>
            <w:tabs>
              <w:tab w:val="right" w:leader="dot" w:pos="9350"/>
            </w:tabs>
            <w:rPr>
              <w:noProof/>
            </w:rPr>
          </w:pPr>
          <w:hyperlink w:anchor="_Toc232368014" w:history="1">
            <w:r w:rsidRPr="00E85585">
              <w:rPr>
                <w:rStyle w:val="Hyperlink"/>
                <w:noProof/>
              </w:rPr>
              <w:t>6. Data Model</w:t>
            </w:r>
            <w:r>
              <w:rPr>
                <w:noProof/>
              </w:rPr>
              <w:tab/>
            </w:r>
            <w:r>
              <w:rPr>
                <w:noProof/>
              </w:rPr>
              <w:fldChar w:fldCharType="begin"/>
            </w:r>
            <w:r>
              <w:rPr>
                <w:noProof/>
              </w:rPr>
              <w:instrText xml:space="preserve"> PAGEREF _Toc232368014 \h </w:instrText>
            </w:r>
            <w:r>
              <w:rPr>
                <w:noProof/>
              </w:rPr>
            </w:r>
            <w:r>
              <w:rPr>
                <w:noProof/>
              </w:rPr>
              <w:fldChar w:fldCharType="separate"/>
            </w:r>
            <w:r>
              <w:rPr>
                <w:noProof/>
              </w:rPr>
              <w:t>3</w:t>
            </w:r>
            <w:r>
              <w:rPr>
                <w:noProof/>
              </w:rPr>
              <w:fldChar w:fldCharType="end"/>
            </w:r>
          </w:hyperlink>
        </w:p>
        <w:p w14:paraId="3E1FC408" w14:textId="77777777" w:rsidR="009D75D3" w:rsidRDefault="009D75D3">
          <w:pPr>
            <w:pStyle w:val="TOC1"/>
            <w:tabs>
              <w:tab w:val="right" w:leader="dot" w:pos="9350"/>
            </w:tabs>
            <w:rPr>
              <w:noProof/>
            </w:rPr>
          </w:pPr>
          <w:hyperlink w:anchor="_Toc232368015" w:history="1">
            <w:r w:rsidRPr="00E85585">
              <w:rPr>
                <w:rStyle w:val="Hyperlink"/>
                <w:noProof/>
              </w:rPr>
              <w:t>7. KPI Definitions &amp; Assumptions</w:t>
            </w:r>
            <w:r>
              <w:rPr>
                <w:noProof/>
              </w:rPr>
              <w:tab/>
            </w:r>
            <w:r>
              <w:rPr>
                <w:noProof/>
              </w:rPr>
              <w:fldChar w:fldCharType="begin"/>
            </w:r>
            <w:r>
              <w:rPr>
                <w:noProof/>
              </w:rPr>
              <w:instrText xml:space="preserve"> PAGEREF _Toc232368015 \h </w:instrText>
            </w:r>
            <w:r>
              <w:rPr>
                <w:noProof/>
              </w:rPr>
            </w:r>
            <w:r>
              <w:rPr>
                <w:noProof/>
              </w:rPr>
              <w:fldChar w:fldCharType="separate"/>
            </w:r>
            <w:r>
              <w:rPr>
                <w:noProof/>
              </w:rPr>
              <w:t>4</w:t>
            </w:r>
            <w:r>
              <w:rPr>
                <w:noProof/>
              </w:rPr>
              <w:fldChar w:fldCharType="end"/>
            </w:r>
          </w:hyperlink>
        </w:p>
        <w:p w14:paraId="63B0361B" w14:textId="77777777" w:rsidR="009D75D3" w:rsidRDefault="009D75D3">
          <w:pPr>
            <w:pStyle w:val="TOC1"/>
            <w:tabs>
              <w:tab w:val="right" w:leader="dot" w:pos="9350"/>
            </w:tabs>
            <w:rPr>
              <w:noProof/>
            </w:rPr>
          </w:pPr>
          <w:hyperlink w:anchor="_Toc232368016" w:history="1">
            <w:r w:rsidRPr="00E85585">
              <w:rPr>
                <w:rStyle w:val="Hyperlink"/>
                <w:noProof/>
              </w:rPr>
              <w:t>8. Dashboard Design</w:t>
            </w:r>
            <w:r>
              <w:rPr>
                <w:noProof/>
              </w:rPr>
              <w:tab/>
            </w:r>
            <w:r>
              <w:rPr>
                <w:noProof/>
              </w:rPr>
              <w:fldChar w:fldCharType="begin"/>
            </w:r>
            <w:r>
              <w:rPr>
                <w:noProof/>
              </w:rPr>
              <w:instrText xml:space="preserve"> PAGEREF _Toc232368016 \h </w:instrText>
            </w:r>
            <w:r>
              <w:rPr>
                <w:noProof/>
              </w:rPr>
            </w:r>
            <w:r>
              <w:rPr>
                <w:noProof/>
              </w:rPr>
              <w:fldChar w:fldCharType="separate"/>
            </w:r>
            <w:r>
              <w:rPr>
                <w:noProof/>
              </w:rPr>
              <w:t>4</w:t>
            </w:r>
            <w:r>
              <w:rPr>
                <w:noProof/>
              </w:rPr>
              <w:fldChar w:fldCharType="end"/>
            </w:r>
          </w:hyperlink>
        </w:p>
        <w:p w14:paraId="7A18836B" w14:textId="77777777" w:rsidR="009D75D3" w:rsidRDefault="009D75D3">
          <w:pPr>
            <w:pStyle w:val="TOC1"/>
            <w:tabs>
              <w:tab w:val="right" w:leader="dot" w:pos="9350"/>
            </w:tabs>
            <w:rPr>
              <w:noProof/>
            </w:rPr>
          </w:pPr>
          <w:hyperlink w:anchor="_Toc232368017" w:history="1">
            <w:r w:rsidRPr="00E85585">
              <w:rPr>
                <w:rStyle w:val="Hyperlink"/>
                <w:noProof/>
              </w:rPr>
              <w:t>9. Key Findings &amp; Insights</w:t>
            </w:r>
            <w:r>
              <w:rPr>
                <w:noProof/>
              </w:rPr>
              <w:tab/>
            </w:r>
            <w:r>
              <w:rPr>
                <w:noProof/>
              </w:rPr>
              <w:fldChar w:fldCharType="begin"/>
            </w:r>
            <w:r>
              <w:rPr>
                <w:noProof/>
              </w:rPr>
              <w:instrText xml:space="preserve"> PAGEREF _Toc232368017 \h </w:instrText>
            </w:r>
            <w:r>
              <w:rPr>
                <w:noProof/>
              </w:rPr>
            </w:r>
            <w:r>
              <w:rPr>
                <w:noProof/>
              </w:rPr>
              <w:fldChar w:fldCharType="separate"/>
            </w:r>
            <w:r>
              <w:rPr>
                <w:noProof/>
              </w:rPr>
              <w:t>5</w:t>
            </w:r>
            <w:r>
              <w:rPr>
                <w:noProof/>
              </w:rPr>
              <w:fldChar w:fldCharType="end"/>
            </w:r>
          </w:hyperlink>
        </w:p>
        <w:p w14:paraId="1976A95E" w14:textId="77777777" w:rsidR="009D75D3" w:rsidRDefault="009D75D3">
          <w:pPr>
            <w:pStyle w:val="TOC1"/>
            <w:tabs>
              <w:tab w:val="right" w:leader="dot" w:pos="9350"/>
            </w:tabs>
            <w:rPr>
              <w:noProof/>
            </w:rPr>
          </w:pPr>
          <w:hyperlink w:anchor="_Toc232368018" w:history="1">
            <w:r w:rsidRPr="00E85585">
              <w:rPr>
                <w:rStyle w:val="Hyperlink"/>
                <w:noProof/>
              </w:rPr>
              <w:t>10. Scalability &amp; Robustness</w:t>
            </w:r>
            <w:r>
              <w:rPr>
                <w:noProof/>
              </w:rPr>
              <w:tab/>
            </w:r>
            <w:r>
              <w:rPr>
                <w:noProof/>
              </w:rPr>
              <w:fldChar w:fldCharType="begin"/>
            </w:r>
            <w:r>
              <w:rPr>
                <w:noProof/>
              </w:rPr>
              <w:instrText xml:space="preserve"> PAGEREF _Toc232368018 \h </w:instrText>
            </w:r>
            <w:r>
              <w:rPr>
                <w:noProof/>
              </w:rPr>
            </w:r>
            <w:r>
              <w:rPr>
                <w:noProof/>
              </w:rPr>
              <w:fldChar w:fldCharType="separate"/>
            </w:r>
            <w:r>
              <w:rPr>
                <w:noProof/>
              </w:rPr>
              <w:t>6</w:t>
            </w:r>
            <w:r>
              <w:rPr>
                <w:noProof/>
              </w:rPr>
              <w:fldChar w:fldCharType="end"/>
            </w:r>
          </w:hyperlink>
        </w:p>
        <w:p w14:paraId="784C3A9C" w14:textId="77777777" w:rsidR="009D75D3" w:rsidRDefault="009D75D3">
          <w:pPr>
            <w:pStyle w:val="TOC1"/>
            <w:tabs>
              <w:tab w:val="right" w:leader="dot" w:pos="9350"/>
            </w:tabs>
            <w:rPr>
              <w:noProof/>
            </w:rPr>
          </w:pPr>
          <w:hyperlink w:anchor="_Toc232368019" w:history="1">
            <w:r w:rsidRPr="00E85585">
              <w:rPr>
                <w:rStyle w:val="Hyperlink"/>
                <w:noProof/>
              </w:rPr>
              <w:t>11. Assumptions &amp; Limitations</w:t>
            </w:r>
            <w:r>
              <w:rPr>
                <w:noProof/>
              </w:rPr>
              <w:tab/>
            </w:r>
            <w:r>
              <w:rPr>
                <w:noProof/>
              </w:rPr>
              <w:fldChar w:fldCharType="begin"/>
            </w:r>
            <w:r>
              <w:rPr>
                <w:noProof/>
              </w:rPr>
              <w:instrText xml:space="preserve"> PAGEREF _Toc232368019 \h </w:instrText>
            </w:r>
            <w:r>
              <w:rPr>
                <w:noProof/>
              </w:rPr>
            </w:r>
            <w:r>
              <w:rPr>
                <w:noProof/>
              </w:rPr>
              <w:fldChar w:fldCharType="separate"/>
            </w:r>
            <w:r>
              <w:rPr>
                <w:noProof/>
              </w:rPr>
              <w:t>7</w:t>
            </w:r>
            <w:r>
              <w:rPr>
                <w:noProof/>
              </w:rPr>
              <w:fldChar w:fldCharType="end"/>
            </w:r>
          </w:hyperlink>
        </w:p>
        <w:p w14:paraId="1F716D1B" w14:textId="77777777" w:rsidR="00895937" w:rsidRDefault="00000000">
          <w:r>
            <w:fldChar w:fldCharType="end"/>
          </w:r>
        </w:p>
      </w:sdtContent>
    </w:sdt>
    <w:p w14:paraId="5D737727" w14:textId="77777777" w:rsidR="00895937" w:rsidRDefault="00000000">
      <w:r>
        <w:br w:type="page"/>
      </w:r>
    </w:p>
    <w:p w14:paraId="31AF04E9" w14:textId="77777777" w:rsidR="00895937" w:rsidRDefault="00000000">
      <w:pPr>
        <w:pStyle w:val="Heading1"/>
      </w:pPr>
      <w:bookmarkStart w:id="1" w:name="_Toc232368008"/>
      <w:r>
        <w:lastRenderedPageBreak/>
        <w:t>Executive Summary</w:t>
      </w:r>
      <w:bookmarkEnd w:id="1"/>
    </w:p>
    <w:p w14:paraId="225C2E25" w14:textId="77777777" w:rsidR="00895937" w:rsidRDefault="00000000">
      <w:pPr>
        <w:spacing w:after="120"/>
      </w:pPr>
      <w:r>
        <w:t>This document describes my understanding of the SIOP (Sales, Inventory &amp; Operations Planning) forecasting case study and the approach taken to deliver a robust, scalable Power BI solution. SIOP forecasts are stored as monthly snapshots; the same future month is forecast repeatedly from different vantage points in time. The core task is to restructure these snapshots so that successive forecast vintages can be compared side by side, merge them with realised actuals, and surface forecast-quality KPIs (Accuracy and Bias) in an executive dashboard.</w:t>
      </w:r>
    </w:p>
    <w:p w14:paraId="45631091" w14:textId="77777777" w:rsidR="00895937" w:rsidRDefault="00000000">
      <w:pPr>
        <w:spacing w:after="120"/>
      </w:pPr>
      <w:r>
        <w:t>Two findings drove the design. First, the snapshot-to-lag mapping was implemented with a parameter-free ranking rule so the model scales automatically as new snapshots arrive. Second, a significant data-quality issue was discovered in the Actuals data – roughly 88% of its rows are exact duplicates – which, if summed naively, inflates actual quantities by ~9x and renders every KPI meaningless. Handling this correctly is central to a trustworthy solution.</w:t>
      </w:r>
    </w:p>
    <w:p w14:paraId="047F5D53" w14:textId="77777777" w:rsidR="00895937" w:rsidRDefault="00000000">
      <w:pPr>
        <w:pStyle w:val="Heading1"/>
      </w:pPr>
      <w:bookmarkStart w:id="2" w:name="_Toc232368009"/>
      <w:r>
        <w:t>1. Problem Understanding</w:t>
      </w:r>
      <w:bookmarkEnd w:id="2"/>
    </w:p>
    <w:p w14:paraId="252BFA0B" w14:textId="77777777" w:rsidR="00895937" w:rsidRDefault="00000000">
      <w:pPr>
        <w:spacing w:after="120"/>
      </w:pPr>
      <w:r>
        <w:t>In SIOP, a forecast is regenerated every period and saved as a snapshot identified by its “As-Of Period” (the month the forecast was created). Each snapshot contains forecasts for many future periods. Because the same target month is forecast from multiple snapshots, we can study how the forecast for a given month evolved as it was revised over time – this is forecast-vintage (lag) analysis.</w:t>
      </w:r>
    </w:p>
    <w:p w14:paraId="23243703" w14:textId="77777777" w:rsidR="00895937" w:rsidRDefault="00000000">
      <w:pPr>
        <w:spacing w:after="120"/>
      </w:pPr>
      <w:r>
        <w:t>The brief defines the labelling relative to the latest snapshot:</w:t>
      </w:r>
    </w:p>
    <w:p w14:paraId="3F5F3EB7" w14:textId="77777777" w:rsidR="00895937" w:rsidRDefault="00000000">
      <w:pPr>
        <w:pStyle w:val="ListParagraph"/>
        <w:numPr>
          <w:ilvl w:val="0"/>
          <w:numId w:val="2"/>
        </w:numPr>
        <w:spacing w:after="60"/>
      </w:pPr>
      <w:r>
        <w:rPr>
          <w:b/>
          <w:bCs/>
        </w:rPr>
        <w:t xml:space="preserve">Resultant </w:t>
      </w:r>
      <w:r>
        <w:t>– the latest snapshot (here 2023 P12).</w:t>
      </w:r>
    </w:p>
    <w:p w14:paraId="43F5B70A" w14:textId="77777777" w:rsidR="00895937" w:rsidRDefault="00000000">
      <w:pPr>
        <w:pStyle w:val="ListParagraph"/>
        <w:numPr>
          <w:ilvl w:val="0"/>
          <w:numId w:val="2"/>
        </w:numPr>
        <w:spacing w:after="60"/>
      </w:pPr>
      <w:r>
        <w:rPr>
          <w:b/>
          <w:bCs/>
        </w:rPr>
        <w:t xml:space="preserve">Lag 0 </w:t>
      </w:r>
      <w:r>
        <w:t>– the previous snapshot (2023 P11).</w:t>
      </w:r>
    </w:p>
    <w:p w14:paraId="447BDC31" w14:textId="77777777" w:rsidR="00895937" w:rsidRDefault="00000000">
      <w:pPr>
        <w:pStyle w:val="ListParagraph"/>
        <w:numPr>
          <w:ilvl w:val="0"/>
          <w:numId w:val="2"/>
        </w:numPr>
        <w:spacing w:after="60"/>
      </w:pPr>
      <w:r>
        <w:rPr>
          <w:b/>
          <w:bCs/>
        </w:rPr>
        <w:t xml:space="preserve">Lag 1 </w:t>
      </w:r>
      <w:r>
        <w:t>– the snapshot before that (2023 P10).</w:t>
      </w:r>
    </w:p>
    <w:p w14:paraId="5EBB0A4F" w14:textId="77777777" w:rsidR="00895937" w:rsidRDefault="00000000">
      <w:pPr>
        <w:spacing w:after="120"/>
      </w:pPr>
      <w:r>
        <w:t>For any fixed target Period, Resultant / Lag 0 / Lag 1 are therefore forecasts of the same month made at progressively earlier times (i.e. at longer horizons). Aligning them on the target Period and comparing against actuals tells us whether forecasts improve as the target month approaches.</w:t>
      </w:r>
    </w:p>
    <w:p w14:paraId="48874F9E" w14:textId="77777777" w:rsidR="00895937" w:rsidRDefault="00000000">
      <w:pPr>
        <w:pStyle w:val="Heading1"/>
      </w:pPr>
      <w:bookmarkStart w:id="3" w:name="_Toc232368010"/>
      <w:r>
        <w:t>2. Dataset Overview</w:t>
      </w:r>
      <w:bookmarkEnd w:id="3"/>
    </w:p>
    <w:p w14:paraId="0A062EDA" w14:textId="77777777" w:rsidR="00895937" w:rsidRDefault="00000000">
      <w:pPr>
        <w:spacing w:after="120"/>
      </w:pPr>
      <w:r>
        <w:t>The source workbook contains two sheets: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100"/>
        <w:gridCol w:w="3260"/>
        <w:gridCol w:w="3600"/>
      </w:tblGrid>
      <w:tr w:rsidR="00895937" w14:paraId="4DA2F1B3"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tcPr>
          <w:p w14:paraId="2A401B7E" w14:textId="77777777" w:rsidR="00895937" w:rsidRDefault="00000000">
            <w:r>
              <w:rPr>
                <w:b/>
                <w:bCs/>
                <w:color w:val="FFFFFF"/>
                <w:sz w:val="19"/>
                <w:szCs w:val="19"/>
              </w:rPr>
              <w:t>Sheet</w:t>
            </w:r>
          </w:p>
        </w:tc>
        <w:tc>
          <w:tcPr>
            <w:tcW w:w="11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tcPr>
          <w:p w14:paraId="786B7062" w14:textId="77777777" w:rsidR="00895937" w:rsidRDefault="00000000">
            <w:r>
              <w:rPr>
                <w:b/>
                <w:bCs/>
                <w:color w:val="FFFFFF"/>
                <w:sz w:val="19"/>
                <w:szCs w:val="19"/>
              </w:rPr>
              <w:t>Rows</w:t>
            </w:r>
          </w:p>
        </w:tc>
        <w:tc>
          <w:tcPr>
            <w:tcW w:w="326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tcPr>
          <w:p w14:paraId="4CC367F8" w14:textId="77777777" w:rsidR="00895937" w:rsidRDefault="00000000">
            <w:r>
              <w:rPr>
                <w:b/>
                <w:bCs/>
                <w:color w:val="FFFFFF"/>
                <w:sz w:val="19"/>
                <w:szCs w:val="19"/>
              </w:rPr>
              <w:t>Grain</w:t>
            </w:r>
          </w:p>
        </w:tc>
        <w:tc>
          <w:tcPr>
            <w:tcW w:w="36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tcPr>
          <w:p w14:paraId="7F788568" w14:textId="77777777" w:rsidR="00895937" w:rsidRDefault="00000000">
            <w:r>
              <w:rPr>
                <w:b/>
                <w:bCs/>
                <w:color w:val="FFFFFF"/>
                <w:sz w:val="19"/>
                <w:szCs w:val="19"/>
              </w:rPr>
              <w:t>Key columns</w:t>
            </w:r>
          </w:p>
        </w:tc>
      </w:tr>
      <w:tr w:rsidR="00895937" w14:paraId="3502BE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F1F30DF" w14:textId="77777777" w:rsidR="00895937" w:rsidRDefault="00000000">
            <w:r>
              <w:rPr>
                <w:sz w:val="19"/>
                <w:szCs w:val="19"/>
              </w:rPr>
              <w:t>Forecast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AA2DAD6" w14:textId="77777777" w:rsidR="00895937" w:rsidRDefault="00000000">
            <w:r>
              <w:rPr>
                <w:sz w:val="19"/>
                <w:szCs w:val="19"/>
              </w:rPr>
              <w:t>246,477</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4B23F74" w14:textId="77777777" w:rsidR="00895937" w:rsidRDefault="00000000">
            <w:r>
              <w:rPr>
                <w:sz w:val="19"/>
                <w:szCs w:val="19"/>
              </w:rPr>
              <w:t>Item × Country × AsOfPeriod × Period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538F458" w14:textId="77777777" w:rsidR="00895937" w:rsidRDefault="00000000">
            <w:r>
              <w:rPr>
                <w:sz w:val="19"/>
                <w:szCs w:val="19"/>
              </w:rPr>
              <w:t>AsOfPeriod (snapshot), Period (target), Revenue / Non-Revenue / CAPEX Forecast</w:t>
            </w:r>
          </w:p>
        </w:tc>
      </w:tr>
      <w:tr w:rsidR="00895937" w14:paraId="62DAE6D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50" w:type="dxa"/>
              <w:left w:w="100" w:type="dxa"/>
              <w:bottom w:w="50" w:type="dxa"/>
              <w:right w:w="100" w:type="dxa"/>
            </w:tcMar>
          </w:tcPr>
          <w:p w14:paraId="4550D329" w14:textId="77777777" w:rsidR="00895937" w:rsidRDefault="00000000">
            <w:r>
              <w:rPr>
                <w:sz w:val="19"/>
                <w:szCs w:val="19"/>
              </w:rPr>
              <w:t>Actual</w:t>
            </w:r>
          </w:p>
        </w:tc>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50" w:type="dxa"/>
              <w:left w:w="100" w:type="dxa"/>
              <w:bottom w:w="50" w:type="dxa"/>
              <w:right w:w="100" w:type="dxa"/>
            </w:tcMar>
          </w:tcPr>
          <w:p w14:paraId="48C1AB21" w14:textId="77777777" w:rsidR="00895937" w:rsidRDefault="00000000">
            <w:r>
              <w:rPr>
                <w:sz w:val="19"/>
                <w:szCs w:val="19"/>
              </w:rPr>
              <w:t>500,000</w:t>
            </w:r>
          </w:p>
        </w:tc>
        <w:tc>
          <w:tcPr>
            <w:tcW w:w="3260" w:type="dxa"/>
            <w:tcBorders>
              <w:top w:val="single" w:sz="1" w:space="0" w:color="CCCCCC"/>
              <w:left w:val="single" w:sz="1" w:space="0" w:color="CCCCCC"/>
              <w:bottom w:val="single" w:sz="1" w:space="0" w:color="CCCCCC"/>
              <w:right w:val="single" w:sz="1" w:space="0" w:color="CCCCCC"/>
            </w:tcBorders>
            <w:shd w:val="clear" w:color="auto" w:fill="F2F5FB"/>
            <w:tcMar>
              <w:top w:w="50" w:type="dxa"/>
              <w:left w:w="100" w:type="dxa"/>
              <w:bottom w:w="50" w:type="dxa"/>
              <w:right w:w="100" w:type="dxa"/>
            </w:tcMar>
          </w:tcPr>
          <w:p w14:paraId="48CEE5A8" w14:textId="77777777" w:rsidR="00895937" w:rsidRDefault="00000000">
            <w:r>
              <w:rPr>
                <w:sz w:val="19"/>
                <w:szCs w:val="19"/>
              </w:rPr>
              <w:t>Item × Country × Period (heavily duplicated)</w:t>
            </w:r>
          </w:p>
        </w:tc>
        <w:tc>
          <w:tcPr>
            <w:tcW w:w="3600" w:type="dxa"/>
            <w:tcBorders>
              <w:top w:val="single" w:sz="1" w:space="0" w:color="CCCCCC"/>
              <w:left w:val="single" w:sz="1" w:space="0" w:color="CCCCCC"/>
              <w:bottom w:val="single" w:sz="1" w:space="0" w:color="CCCCCC"/>
              <w:right w:val="single" w:sz="1" w:space="0" w:color="CCCCCC"/>
            </w:tcBorders>
            <w:shd w:val="clear" w:color="auto" w:fill="F2F5FB"/>
            <w:tcMar>
              <w:top w:w="50" w:type="dxa"/>
              <w:left w:w="100" w:type="dxa"/>
              <w:bottom w:w="50" w:type="dxa"/>
              <w:right w:w="100" w:type="dxa"/>
            </w:tcMar>
          </w:tcPr>
          <w:p w14:paraId="444D419C" w14:textId="77777777" w:rsidR="00895937" w:rsidRDefault="00000000">
            <w:r>
              <w:rPr>
                <w:sz w:val="19"/>
                <w:szCs w:val="19"/>
              </w:rPr>
              <w:t>Actuals Revenue / Non-Revenue / Capex Qty</w:t>
            </w:r>
          </w:p>
        </w:tc>
      </w:tr>
    </w:tbl>
    <w:p w14:paraId="02D7D3C1" w14:textId="77777777" w:rsidR="00895937" w:rsidRDefault="00000000">
      <w:pPr>
        <w:spacing w:after="120"/>
      </w:pPr>
      <w:r>
        <w:t>There are three snapshots (2023 P10, P11, P12); target periods span 2023 P10 to 2024 P12; four countries (A–D). The forecast measure column “CAPEX Foreacast” is mis-spelled at source and is corrected during transformation.</w:t>
      </w:r>
    </w:p>
    <w:p w14:paraId="2CE34551" w14:textId="77777777" w:rsidR="00895937" w:rsidRDefault="00000000">
      <w:pPr>
        <w:pStyle w:val="Heading1"/>
      </w:pPr>
      <w:bookmarkStart w:id="4" w:name="_Toc232368011"/>
      <w:r>
        <w:t>3. Solution Approach &amp; Architecture</w:t>
      </w:r>
      <w:bookmarkEnd w:id="4"/>
    </w:p>
    <w:p w14:paraId="25E702BB" w14:textId="77777777" w:rsidR="00895937" w:rsidRDefault="00000000">
      <w:pPr>
        <w:spacing w:after="120"/>
      </w:pPr>
      <w:r>
        <w:t>A key design decision was how to represent the lags. Two options were considered: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60"/>
        <w:gridCol w:w="3700"/>
      </w:tblGrid>
      <w:tr w:rsidR="00895937" w14:paraId="4AF6EFA3"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tcPr>
          <w:p w14:paraId="2A60834C" w14:textId="77777777" w:rsidR="00895937" w:rsidRDefault="00000000">
            <w:r>
              <w:rPr>
                <w:b/>
                <w:bCs/>
                <w:color w:val="FFFFFF"/>
                <w:sz w:val="19"/>
                <w:szCs w:val="19"/>
              </w:rPr>
              <w:lastRenderedPageBreak/>
              <w:t>Option</w:t>
            </w:r>
          </w:p>
        </w:tc>
        <w:tc>
          <w:tcPr>
            <w:tcW w:w="376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tcPr>
          <w:p w14:paraId="5399B966" w14:textId="77777777" w:rsidR="00895937" w:rsidRDefault="00000000">
            <w:r>
              <w:rPr>
                <w:b/>
                <w:bCs/>
                <w:color w:val="FFFFFF"/>
                <w:sz w:val="19"/>
                <w:szCs w:val="19"/>
              </w:rPr>
              <w:t>Description</w:t>
            </w:r>
          </w:p>
        </w:tc>
        <w:tc>
          <w:tcPr>
            <w:tcW w:w="37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tcPr>
          <w:p w14:paraId="4B6A6023" w14:textId="77777777" w:rsidR="00895937" w:rsidRDefault="00000000">
            <w:r>
              <w:rPr>
                <w:b/>
                <w:bCs/>
                <w:color w:val="FFFFFF"/>
                <w:sz w:val="19"/>
                <w:szCs w:val="19"/>
              </w:rPr>
              <w:t>Trade-off</w:t>
            </w:r>
          </w:p>
        </w:tc>
      </w:tr>
      <w:tr w:rsidR="00895937" w14:paraId="45F7FF8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E5420A5" w14:textId="77777777" w:rsidR="00895937" w:rsidRDefault="00000000">
            <w:r>
              <w:rPr>
                <w:sz w:val="19"/>
                <w:szCs w:val="19"/>
              </w:rPr>
              <w:t>A – Wide pivot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C755160" w14:textId="77777777" w:rsidR="00895937" w:rsidRDefault="00000000">
            <w:r>
              <w:rPr>
                <w:sz w:val="19"/>
                <w:szCs w:val="19"/>
              </w:rPr>
              <w:t>Hard-pivot to 9 columns (Resultant/Lag0/Lag1 × 3 measures).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BBFBE65" w14:textId="77777777" w:rsidR="00895937" w:rsidRDefault="00000000">
            <w:r>
              <w:rPr>
                <w:sz w:val="19"/>
                <w:szCs w:val="19"/>
              </w:rPr>
              <w:t>Matches the brief wording literally, but rigid and makes the Lag slicer awkward.</w:t>
            </w:r>
          </w:p>
        </w:tc>
      </w:tr>
      <w:tr w:rsidR="00895937" w14:paraId="54B170F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5FB"/>
            <w:tcMar>
              <w:top w:w="50" w:type="dxa"/>
              <w:left w:w="100" w:type="dxa"/>
              <w:bottom w:w="50" w:type="dxa"/>
              <w:right w:w="100" w:type="dxa"/>
            </w:tcMar>
          </w:tcPr>
          <w:p w14:paraId="5612F240" w14:textId="77777777" w:rsidR="00895937" w:rsidRDefault="00000000">
            <w:r>
              <w:rPr>
                <w:sz w:val="19"/>
                <w:szCs w:val="19"/>
              </w:rPr>
              <w:t>B – Normalised (chosen)</w:t>
            </w:r>
          </w:p>
        </w:tc>
        <w:tc>
          <w:tcPr>
            <w:tcW w:w="3760" w:type="dxa"/>
            <w:tcBorders>
              <w:top w:val="single" w:sz="1" w:space="0" w:color="CCCCCC"/>
              <w:left w:val="single" w:sz="1" w:space="0" w:color="CCCCCC"/>
              <w:bottom w:val="single" w:sz="1" w:space="0" w:color="CCCCCC"/>
              <w:right w:val="single" w:sz="1" w:space="0" w:color="CCCCCC"/>
            </w:tcBorders>
            <w:shd w:val="clear" w:color="auto" w:fill="F2F5FB"/>
            <w:tcMar>
              <w:top w:w="50" w:type="dxa"/>
              <w:left w:w="100" w:type="dxa"/>
              <w:bottom w:w="50" w:type="dxa"/>
              <w:right w:w="100" w:type="dxa"/>
            </w:tcMar>
          </w:tcPr>
          <w:p w14:paraId="2FE46608" w14:textId="77777777" w:rsidR="00895937" w:rsidRDefault="00000000">
            <w:r>
              <w:rPr>
                <w:sz w:val="19"/>
                <w:szCs w:val="19"/>
              </w:rPr>
              <w:t>Keep one Lag column; produce side-by-side columns via a Matrix visual.</w:t>
            </w:r>
          </w:p>
        </w:tc>
        <w:tc>
          <w:tcPr>
            <w:tcW w:w="3700" w:type="dxa"/>
            <w:tcBorders>
              <w:top w:val="single" w:sz="1" w:space="0" w:color="CCCCCC"/>
              <w:left w:val="single" w:sz="1" w:space="0" w:color="CCCCCC"/>
              <w:bottom w:val="single" w:sz="1" w:space="0" w:color="CCCCCC"/>
              <w:right w:val="single" w:sz="1" w:space="0" w:color="CCCCCC"/>
            </w:tcBorders>
            <w:shd w:val="clear" w:color="auto" w:fill="F2F5FB"/>
            <w:tcMar>
              <w:top w:w="50" w:type="dxa"/>
              <w:left w:w="100" w:type="dxa"/>
              <w:bottom w:w="50" w:type="dxa"/>
              <w:right w:w="100" w:type="dxa"/>
            </w:tcMar>
          </w:tcPr>
          <w:p w14:paraId="682B0025" w14:textId="77777777" w:rsidR="00895937" w:rsidRDefault="00000000">
            <w:r>
              <w:rPr>
                <w:sz w:val="19"/>
                <w:szCs w:val="19"/>
              </w:rPr>
              <w:t>Single clean fact, native slicing, single-definition KPIs, scales to N snapshots.</w:t>
            </w:r>
          </w:p>
        </w:tc>
      </w:tr>
    </w:tbl>
    <w:p w14:paraId="3647B8A7" w14:textId="77777777" w:rsidR="00895937" w:rsidRDefault="00000000">
      <w:pPr>
        <w:spacing w:after="120"/>
      </w:pPr>
      <w:r>
        <w:t>I chose Option B as the engine and reproduce the literal side-by-side columns through a Matrix visual (Lag on columns). This satisfies the stated requirement while keeping the model scalable and the DAX simple.</w:t>
      </w:r>
    </w:p>
    <w:p w14:paraId="7883C158" w14:textId="77777777" w:rsidR="00895937" w:rsidRDefault="00000000">
      <w:pPr>
        <w:pStyle w:val="Heading1"/>
      </w:pPr>
      <w:bookmarkStart w:id="5" w:name="_Toc232368012"/>
      <w:r>
        <w:t>4. Data Transformation (Power Query)</w:t>
      </w:r>
      <w:bookmarkEnd w:id="5"/>
    </w:p>
    <w:p w14:paraId="719D55A3" w14:textId="77777777" w:rsidR="00895937" w:rsidRDefault="00000000">
      <w:pPr>
        <w:spacing w:after="120"/>
      </w:pPr>
      <w:r>
        <w:t>All transformation is done in Power Query (M) so it is repeatable and refreshable. Steps on the Forecast data:</w:t>
      </w:r>
    </w:p>
    <w:p w14:paraId="3BEB340B" w14:textId="77777777" w:rsidR="00895937" w:rsidRDefault="00000000">
      <w:pPr>
        <w:pStyle w:val="ListParagraph"/>
        <w:numPr>
          <w:ilvl w:val="0"/>
          <w:numId w:val="3"/>
        </w:numPr>
        <w:spacing w:after="60"/>
      </w:pPr>
      <w:r>
        <w:t>Promote headers, set types, and rename the three measures (fixing the source typo).</w:t>
      </w:r>
    </w:p>
    <w:p w14:paraId="49385E24" w14:textId="77777777" w:rsidR="00895937" w:rsidRDefault="00000000">
      <w:pPr>
        <w:pStyle w:val="ListParagraph"/>
        <w:numPr>
          <w:ilvl w:val="0"/>
          <w:numId w:val="3"/>
        </w:numPr>
        <w:spacing w:after="60"/>
      </w:pPr>
      <w:r>
        <w:t>Derive a scalable lag label: rank distinct AsOfPeriods in descending order (1 = latest). Rank 1 → “Resultant”; rank n&gt;1 → “Lag” &amp; (n−2). This yields Lag0, Lag1, Lag2… automatically with no hard-coded snapshot names.</w:t>
      </w:r>
    </w:p>
    <w:p w14:paraId="1280643F" w14:textId="77777777" w:rsidR="00895937" w:rsidRDefault="00000000">
      <w:pPr>
        <w:pStyle w:val="ListParagraph"/>
        <w:numPr>
          <w:ilvl w:val="0"/>
          <w:numId w:val="3"/>
        </w:numPr>
        <w:spacing w:after="60"/>
      </w:pPr>
      <w:r>
        <w:t>Unpivot the three measure columns into MeasureType + ForecastQty, producing a long fact (739,431 rows).</w:t>
      </w:r>
    </w:p>
    <w:p w14:paraId="62927E35" w14:textId="77777777" w:rsidR="00895937" w:rsidRDefault="00000000">
      <w:pPr>
        <w:spacing w:after="120"/>
      </w:pPr>
      <w:r>
        <w:rPr>
          <w:i/>
          <w:iCs/>
        </w:rPr>
        <w:t>Because the lag label is derived from a ranking rather than fixed values, dropping in a future snapshot (e.g. 2024 P01) automatically re-labels it as Resultant and shifts the others – no formula changes required.</w:t>
      </w:r>
    </w:p>
    <w:p w14:paraId="29008F5F" w14:textId="77777777" w:rsidR="00895937" w:rsidRDefault="00000000">
      <w:pPr>
        <w:pStyle w:val="Heading1"/>
      </w:pPr>
      <w:bookmarkStart w:id="6" w:name="_Toc232368013"/>
      <w:r>
        <w:t>5. Merging Actuals (the critical data-quality step)</w:t>
      </w:r>
      <w:bookmarkEnd w:id="6"/>
    </w:p>
    <w:p w14:paraId="1588FA5E" w14:textId="77777777" w:rsidR="00895937" w:rsidRDefault="00000000">
      <w:pPr>
        <w:spacing w:after="120"/>
      </w:pPr>
      <w:r>
        <w:t>Actuals are unpivoted to MeasureType + ActualQty and merged onto the forecast fact on Item + Country + Period + MeasureType (a left join, keeping all forecast rows).</w:t>
      </w:r>
    </w:p>
    <w:p w14:paraId="42F9AD3C" w14:textId="77777777" w:rsidR="00895937" w:rsidRDefault="00000000">
      <w:pPr>
        <w:spacing w:after="120"/>
      </w:pPr>
      <w:r>
        <w:rPr>
          <w:b/>
          <w:bCs/>
        </w:rPr>
        <w:t>Investigating the Actuals revealed a serious quality issue: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560"/>
      </w:tblGrid>
      <w:tr w:rsidR="00895937" w14:paraId="728FE55F" w14:textId="77777777">
        <w:tblPrEx>
          <w:tblCellMar>
            <w:top w:w="0" w:type="dxa"/>
            <w:bottom w:w="0" w:type="dxa"/>
          </w:tblCellMar>
        </w:tblPrEx>
        <w:trPr>
          <w:tblHeader/>
        </w:trPr>
        <w:tc>
          <w:tcPr>
            <w:tcW w:w="58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tcPr>
          <w:p w14:paraId="7F779C67" w14:textId="77777777" w:rsidR="00895937" w:rsidRDefault="00000000">
            <w:r>
              <w:rPr>
                <w:b/>
                <w:bCs/>
                <w:color w:val="FFFFFF"/>
                <w:sz w:val="19"/>
                <w:szCs w:val="19"/>
              </w:rPr>
              <w:t>Check</w:t>
            </w:r>
          </w:p>
        </w:tc>
        <w:tc>
          <w:tcPr>
            <w:tcW w:w="356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tcPr>
          <w:p w14:paraId="2AB811CE" w14:textId="77777777" w:rsidR="00895937" w:rsidRDefault="00000000">
            <w:r>
              <w:rPr>
                <w:b/>
                <w:bCs/>
                <w:color w:val="FFFFFF"/>
                <w:sz w:val="19"/>
                <w:szCs w:val="19"/>
              </w:rPr>
              <w:t>Result</w:t>
            </w:r>
          </w:p>
        </w:tc>
      </w:tr>
      <w:tr w:rsidR="00895937" w14:paraId="5AD75EE8"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55F700A" w14:textId="77777777" w:rsidR="00895937" w:rsidRDefault="00000000">
            <w:r>
              <w:rPr>
                <w:sz w:val="19"/>
                <w:szCs w:val="19"/>
              </w:rPr>
              <w:t>Total rows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959F34C" w14:textId="77777777" w:rsidR="00895937" w:rsidRDefault="00000000">
            <w:r>
              <w:rPr>
                <w:sz w:val="19"/>
                <w:szCs w:val="19"/>
              </w:rPr>
              <w:t>500,000</w:t>
            </w:r>
          </w:p>
        </w:tc>
      </w:tr>
      <w:tr w:rsidR="00895937" w14:paraId="164CB443"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2F5FB"/>
            <w:tcMar>
              <w:top w:w="50" w:type="dxa"/>
              <w:left w:w="100" w:type="dxa"/>
              <w:bottom w:w="50" w:type="dxa"/>
              <w:right w:w="100" w:type="dxa"/>
            </w:tcMar>
          </w:tcPr>
          <w:p w14:paraId="1360E23F" w14:textId="77777777" w:rsidR="00895937" w:rsidRDefault="00000000">
            <w:r>
              <w:rPr>
                <w:sz w:val="19"/>
                <w:szCs w:val="19"/>
              </w:rPr>
              <w:t>Exact-duplicate rows</w:t>
            </w:r>
          </w:p>
        </w:tc>
        <w:tc>
          <w:tcPr>
            <w:tcW w:w="3560" w:type="dxa"/>
            <w:tcBorders>
              <w:top w:val="single" w:sz="1" w:space="0" w:color="CCCCCC"/>
              <w:left w:val="single" w:sz="1" w:space="0" w:color="CCCCCC"/>
              <w:bottom w:val="single" w:sz="1" w:space="0" w:color="CCCCCC"/>
              <w:right w:val="single" w:sz="1" w:space="0" w:color="CCCCCC"/>
            </w:tcBorders>
            <w:shd w:val="clear" w:color="auto" w:fill="F2F5FB"/>
            <w:tcMar>
              <w:top w:w="50" w:type="dxa"/>
              <w:left w:w="100" w:type="dxa"/>
              <w:bottom w:w="50" w:type="dxa"/>
              <w:right w:w="100" w:type="dxa"/>
            </w:tcMar>
          </w:tcPr>
          <w:p w14:paraId="06D436F3" w14:textId="77777777" w:rsidR="00895937" w:rsidRDefault="00000000">
            <w:r>
              <w:rPr>
                <w:sz w:val="19"/>
                <w:szCs w:val="19"/>
              </w:rPr>
              <w:t>442,054 (88.4%)</w:t>
            </w:r>
          </w:p>
        </w:tc>
      </w:tr>
      <w:tr w:rsidR="00895937" w14:paraId="3A9F5A18"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7AC39B8" w14:textId="77777777" w:rsidR="00895937" w:rsidRDefault="00000000">
            <w:r>
              <w:rPr>
                <w:sz w:val="19"/>
                <w:szCs w:val="19"/>
              </w:rPr>
              <w:t>Distinct rows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52F1758" w14:textId="77777777" w:rsidR="00895937" w:rsidRDefault="00000000">
            <w:r>
              <w:rPr>
                <w:sz w:val="19"/>
                <w:szCs w:val="19"/>
              </w:rPr>
              <w:t>57,946</w:t>
            </w:r>
          </w:p>
        </w:tc>
      </w:tr>
      <w:tr w:rsidR="00895937" w14:paraId="75081EA5"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2F5FB"/>
            <w:tcMar>
              <w:top w:w="50" w:type="dxa"/>
              <w:left w:w="100" w:type="dxa"/>
              <w:bottom w:w="50" w:type="dxa"/>
              <w:right w:w="100" w:type="dxa"/>
            </w:tcMar>
          </w:tcPr>
          <w:p w14:paraId="0E501D5E" w14:textId="77777777" w:rsidR="00895937" w:rsidRDefault="00000000">
            <w:r>
              <w:rPr>
                <w:sz w:val="19"/>
                <w:szCs w:val="19"/>
              </w:rPr>
              <w:t>Keys with genuinely differing values</w:t>
            </w:r>
          </w:p>
        </w:tc>
        <w:tc>
          <w:tcPr>
            <w:tcW w:w="3560" w:type="dxa"/>
            <w:tcBorders>
              <w:top w:val="single" w:sz="1" w:space="0" w:color="CCCCCC"/>
              <w:left w:val="single" w:sz="1" w:space="0" w:color="CCCCCC"/>
              <w:bottom w:val="single" w:sz="1" w:space="0" w:color="CCCCCC"/>
              <w:right w:val="single" w:sz="1" w:space="0" w:color="CCCCCC"/>
            </w:tcBorders>
            <w:shd w:val="clear" w:color="auto" w:fill="F2F5FB"/>
            <w:tcMar>
              <w:top w:w="50" w:type="dxa"/>
              <w:left w:w="100" w:type="dxa"/>
              <w:bottom w:w="50" w:type="dxa"/>
              <w:right w:w="100" w:type="dxa"/>
            </w:tcMar>
          </w:tcPr>
          <w:p w14:paraId="3283600A" w14:textId="77777777" w:rsidR="00895937" w:rsidRDefault="00000000">
            <w:r>
              <w:rPr>
                <w:sz w:val="19"/>
                <w:szCs w:val="19"/>
              </w:rPr>
              <w:t>3,919 (7.4%)</w:t>
            </w:r>
          </w:p>
        </w:tc>
      </w:tr>
    </w:tbl>
    <w:p w14:paraId="538C96ED" w14:textId="77777777" w:rsidR="00895937" w:rsidRDefault="00000000">
      <w:pPr>
        <w:spacing w:after="120"/>
      </w:pPr>
      <w:r>
        <w:t>Summing the raw rows inflates actuals by roughly 9x and produces nonsensical KPIs (e.g. forecast appearing to be ~5% of actual). The robust rule applied is: remove exact duplicate rows first (Table.Distinct), then sum within each key to respect the small share of keys that legitimately carry multiple distinct values. This correction alone moved Revenue accuracy from ~5% to ~20–30%.</w:t>
      </w:r>
    </w:p>
    <w:p w14:paraId="5386ED05" w14:textId="77777777" w:rsidR="00895937" w:rsidRDefault="00000000">
      <w:pPr>
        <w:pStyle w:val="Heading1"/>
      </w:pPr>
      <w:bookmarkStart w:id="7" w:name="_Toc232368014"/>
      <w:r>
        <w:t>6. Data Model</w:t>
      </w:r>
      <w:bookmarkEnd w:id="7"/>
    </w:p>
    <w:p w14:paraId="7A3FBA5F" w14:textId="77777777" w:rsidR="00895937" w:rsidRDefault="00000000">
      <w:pPr>
        <w:pStyle w:val="ListParagraph"/>
        <w:numPr>
          <w:ilvl w:val="0"/>
          <w:numId w:val="2"/>
        </w:numPr>
        <w:spacing w:after="60"/>
      </w:pPr>
      <w:r>
        <w:t>Fact_ForecastActual – the merged long fact (Item, Country, Period, Lag, MeasureType, ForecastQty, ActualQty, ActualRealized).</w:t>
      </w:r>
    </w:p>
    <w:p w14:paraId="79DDBB61" w14:textId="77777777" w:rsidR="00895937" w:rsidRDefault="00000000">
      <w:pPr>
        <w:pStyle w:val="ListParagraph"/>
        <w:numPr>
          <w:ilvl w:val="0"/>
          <w:numId w:val="2"/>
        </w:numPr>
        <w:spacing w:after="60"/>
      </w:pPr>
      <w:r>
        <w:t>Lag Selection – a small disconnected table (Resultant / Lag0 / Lag1, with a sort key) that drives the interactive lag filter via a SWITCH-style measure.</w:t>
      </w:r>
    </w:p>
    <w:p w14:paraId="4A6A7598" w14:textId="77777777" w:rsidR="00895937" w:rsidRDefault="00000000">
      <w:pPr>
        <w:pStyle w:val="ListParagraph"/>
        <w:numPr>
          <w:ilvl w:val="0"/>
          <w:numId w:val="2"/>
        </w:numPr>
        <w:spacing w:after="60"/>
      </w:pPr>
      <w:r>
        <w:lastRenderedPageBreak/>
        <w:t>Staging queries (Forecast_Long, Actual_Long) have load disabled to keep the model lean.</w:t>
      </w:r>
    </w:p>
    <w:p w14:paraId="776B44A6" w14:textId="7C964AE2" w:rsidR="009D75D3" w:rsidRDefault="009D75D3">
      <w:pPr>
        <w:spacing w:before="20" w:after="200"/>
        <w:jc w:val="center"/>
        <w:rPr>
          <w:i/>
          <w:iCs/>
          <w:color w:val="59607A"/>
          <w:sz w:val="17"/>
          <w:szCs w:val="17"/>
        </w:rPr>
      </w:pPr>
      <w:r w:rsidRPr="009D75D3">
        <w:rPr>
          <w:i/>
          <w:iCs/>
          <w:color w:val="59607A"/>
          <w:sz w:val="17"/>
          <w:szCs w:val="17"/>
        </w:rPr>
        <w:drawing>
          <wp:inline distT="0" distB="0" distL="0" distR="0" wp14:anchorId="2CC3CD7E" wp14:editId="3C4DF00D">
            <wp:extent cx="5943600" cy="2503805"/>
            <wp:effectExtent l="0" t="0" r="0" b="0"/>
            <wp:docPr id="45850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01384" name=""/>
                    <pic:cNvPicPr/>
                  </pic:nvPicPr>
                  <pic:blipFill>
                    <a:blip r:embed="rId7"/>
                    <a:stretch>
                      <a:fillRect/>
                    </a:stretch>
                  </pic:blipFill>
                  <pic:spPr>
                    <a:xfrm>
                      <a:off x="0" y="0"/>
                      <a:ext cx="5943600" cy="2503805"/>
                    </a:xfrm>
                    <a:prstGeom prst="rect">
                      <a:avLst/>
                    </a:prstGeom>
                  </pic:spPr>
                </pic:pic>
              </a:graphicData>
            </a:graphic>
          </wp:inline>
        </w:drawing>
      </w:r>
    </w:p>
    <w:p w14:paraId="1DC27223" w14:textId="6E9F7C2A" w:rsidR="00895937" w:rsidRDefault="00000000">
      <w:pPr>
        <w:spacing w:before="20" w:after="200"/>
        <w:jc w:val="center"/>
      </w:pPr>
      <w:r>
        <w:rPr>
          <w:i/>
          <w:iCs/>
          <w:color w:val="59607A"/>
          <w:sz w:val="17"/>
          <w:szCs w:val="17"/>
        </w:rPr>
        <w:t>Screenshot 1 — Star schema: Fact_ForecastActual with the disconnected Lag Selection table.</w:t>
      </w:r>
    </w:p>
    <w:p w14:paraId="47A15AB1" w14:textId="77777777" w:rsidR="00895937" w:rsidRDefault="00000000">
      <w:pPr>
        <w:pStyle w:val="Heading1"/>
      </w:pPr>
      <w:bookmarkStart w:id="8" w:name="_Toc232368015"/>
      <w:r>
        <w:t>7. KPI Definitions &amp; Assumptions</w:t>
      </w:r>
      <w:bookmarkEnd w:id="8"/>
    </w:p>
    <w:p w14:paraId="14211810" w14:textId="77777777" w:rsidR="00895937" w:rsidRDefault="00000000">
      <w:pPr>
        <w:spacing w:after="120"/>
      </w:pPr>
      <w:r>
        <w:t>KPIs follow the brief, implemented with DIVIDE to guard against division by zero:</w:t>
      </w:r>
    </w:p>
    <w:p w14:paraId="54A4D688" w14:textId="29CDCCD5" w:rsidR="00895937" w:rsidRDefault="00000000">
      <w:pPr>
        <w:pStyle w:val="ListParagraph"/>
        <w:numPr>
          <w:ilvl w:val="0"/>
          <w:numId w:val="2"/>
        </w:numPr>
        <w:spacing w:after="60"/>
      </w:pPr>
      <w:r>
        <w:rPr>
          <w:b/>
          <w:bCs/>
        </w:rPr>
        <w:t xml:space="preserve">Forecast Accuracy % </w:t>
      </w:r>
      <w:r>
        <w:t xml:space="preserve">= 1 </w:t>
      </w:r>
      <w:r w:rsidR="009D75D3">
        <w:t>–</w:t>
      </w:r>
      <w:r>
        <w:t xml:space="preserve"> ABS(Lag Qty </w:t>
      </w:r>
      <w:r w:rsidR="009D75D3">
        <w:t>–</w:t>
      </w:r>
      <w:r>
        <w:t xml:space="preserve"> Actual Qty) / Actual Qty</w:t>
      </w:r>
    </w:p>
    <w:p w14:paraId="52C70C80" w14:textId="1360CEB2" w:rsidR="00895937" w:rsidRDefault="00000000">
      <w:pPr>
        <w:pStyle w:val="ListParagraph"/>
        <w:numPr>
          <w:ilvl w:val="0"/>
          <w:numId w:val="2"/>
        </w:numPr>
        <w:spacing w:after="60"/>
      </w:pPr>
      <w:r>
        <w:rPr>
          <w:b/>
          <w:bCs/>
        </w:rPr>
        <w:t xml:space="preserve">Forecast Bias % </w:t>
      </w:r>
      <w:r>
        <w:t xml:space="preserve">= (Lag Qty </w:t>
      </w:r>
      <w:r w:rsidR="009D75D3">
        <w:t>–</w:t>
      </w:r>
      <w:r>
        <w:t xml:space="preserve"> Actual Qty) / Actual Qty</w:t>
      </w:r>
    </w:p>
    <w:p w14:paraId="39377653" w14:textId="77777777" w:rsidR="00895937" w:rsidRDefault="00000000">
      <w:pPr>
        <w:spacing w:after="120"/>
      </w:pPr>
      <w:r>
        <w:t>Assumptions documented for the assessor:</w:t>
      </w:r>
    </w:p>
    <w:p w14:paraId="1FC3103E" w14:textId="77777777" w:rsidR="00895937" w:rsidRDefault="00000000">
      <w:pPr>
        <w:pStyle w:val="ListParagraph"/>
        <w:numPr>
          <w:ilvl w:val="0"/>
          <w:numId w:val="2"/>
        </w:numPr>
        <w:spacing w:after="60"/>
      </w:pPr>
      <w:r>
        <w:t>“Sales Actuals” in the Bias formula is interpreted as the actual quantity of the same measure type as the forecast (Revenue↔Revenue, etc.).</w:t>
      </w:r>
    </w:p>
    <w:p w14:paraId="1952D5F2" w14:textId="77777777" w:rsidR="00895937" w:rsidRDefault="00000000">
      <w:pPr>
        <w:pStyle w:val="ListParagraph"/>
        <w:numPr>
          <w:ilvl w:val="0"/>
          <w:numId w:val="2"/>
        </w:numPr>
        <w:spacing w:after="60"/>
      </w:pPr>
      <w:r>
        <w:t>Where actuals are zero or absent (e.g. CAPEX actuals are entirely zero in this sample, and future 2024 periods have no actual yet), the KPI is left blank rather than forced – DIVIDE handles this.</w:t>
      </w:r>
    </w:p>
    <w:p w14:paraId="19E659F7" w14:textId="77777777" w:rsidR="00895937" w:rsidRDefault="00000000">
      <w:pPr>
        <w:pStyle w:val="ListParagraph"/>
        <w:numPr>
          <w:ilvl w:val="0"/>
          <w:numId w:val="2"/>
        </w:numPr>
        <w:spacing w:after="60"/>
      </w:pPr>
      <w:r>
        <w:t>Accuracy/Bias visuals are scoped to rows where an actual is realised (ActualRealized = TRUE) so unrealised future forecasts do not distort the percentages.</w:t>
      </w:r>
    </w:p>
    <w:p w14:paraId="35162349" w14:textId="77777777" w:rsidR="00895937" w:rsidRDefault="00000000">
      <w:pPr>
        <w:spacing w:after="120"/>
      </w:pPr>
      <w:r>
        <w:t>The Lag Selection filter is implemented so that choosing “Lag 0” returns the sum of the Lag 0 columns across Revenue, Non-Revenue and CAPEX, as required.</w:t>
      </w:r>
    </w:p>
    <w:p w14:paraId="2D547718" w14:textId="77777777" w:rsidR="00895937" w:rsidRDefault="00000000">
      <w:pPr>
        <w:pStyle w:val="Heading1"/>
      </w:pPr>
      <w:bookmarkStart w:id="9" w:name="_Toc232368016"/>
      <w:r>
        <w:t>8. Dashboard Design</w:t>
      </w:r>
      <w:bookmarkEnd w:id="9"/>
    </w:p>
    <w:p w14:paraId="1C69A9D0" w14:textId="77777777" w:rsidR="00895937" w:rsidRDefault="00000000">
      <w:pPr>
        <w:spacing w:after="120"/>
      </w:pPr>
      <w:r>
        <w:t>Three pages, all built manually in Power BI Desktop:</w:t>
      </w:r>
    </w:p>
    <w:p w14:paraId="1CA45F17" w14:textId="77777777" w:rsidR="00895937" w:rsidRDefault="00000000">
      <w:pPr>
        <w:pStyle w:val="ListParagraph"/>
        <w:numPr>
          <w:ilvl w:val="0"/>
          <w:numId w:val="2"/>
        </w:numPr>
        <w:spacing w:after="60"/>
      </w:pPr>
      <w:r>
        <w:rPr>
          <w:b/>
          <w:bCs/>
        </w:rPr>
        <w:t xml:space="preserve">Executive Forecast Overview </w:t>
      </w:r>
      <w:r>
        <w:t>– Revenue, Non-Revenue and CAPEX forecast by Country; KPI cards; a Lag Selection slicer plus Period / Country / Measure slicers that recalculate on selection.</w:t>
      </w:r>
    </w:p>
    <w:p w14:paraId="68E0B69E" w14:textId="77777777" w:rsidR="00895937" w:rsidRDefault="00000000">
      <w:pPr>
        <w:pStyle w:val="ListParagraph"/>
        <w:numPr>
          <w:ilvl w:val="0"/>
          <w:numId w:val="2"/>
        </w:numPr>
        <w:spacing w:after="60"/>
      </w:pPr>
      <w:r>
        <w:rPr>
          <w:b/>
          <w:bCs/>
        </w:rPr>
        <w:t xml:space="preserve">Lag Comparison </w:t>
      </w:r>
      <w:r>
        <w:t>– a Matrix with Lag on columns, giving the literal Resultant / Lag 0 / Lag 1 side-by-side view against actuals.</w:t>
      </w:r>
    </w:p>
    <w:p w14:paraId="0FCAAD42" w14:textId="77777777" w:rsidR="00895937" w:rsidRDefault="00000000">
      <w:pPr>
        <w:pStyle w:val="ListParagraph"/>
        <w:numPr>
          <w:ilvl w:val="0"/>
          <w:numId w:val="2"/>
        </w:numPr>
        <w:spacing w:after="60"/>
      </w:pPr>
      <w:r>
        <w:rPr>
          <w:b/>
          <w:bCs/>
        </w:rPr>
        <w:t xml:space="preserve">Forecast Accuracy &amp; Bias </w:t>
      </w:r>
      <w:r>
        <w:t>– accuracy plotted against the true forecast horizon (PeriodOffset, 0–14 months) and bias by country (proposed analysis), using the realised-only measures.</w:t>
      </w:r>
    </w:p>
    <w:p w14:paraId="6D6578FE" w14:textId="3195564E" w:rsidR="00895937" w:rsidRDefault="00000000">
      <w:pPr>
        <w:spacing w:after="120"/>
      </w:pPr>
      <w:r>
        <w:rPr>
          <w:i/>
          <w:iCs/>
        </w:rPr>
        <w:t xml:space="preserve">A variance measure (Forecast vs Actual = Forecast Qty </w:t>
      </w:r>
      <w:r w:rsidR="009D75D3">
        <w:rPr>
          <w:i/>
          <w:iCs/>
        </w:rPr>
        <w:t>–</w:t>
      </w:r>
      <w:r>
        <w:rPr>
          <w:i/>
          <w:iCs/>
        </w:rPr>
        <w:t xml:space="preserve"> Actual Qty) was added to the Lag Comparison matrix so each vintage can be read against the realised actual in the same view.</w:t>
      </w:r>
    </w:p>
    <w:p w14:paraId="13013669" w14:textId="108B65EC" w:rsidR="009D75D3" w:rsidRDefault="009D75D3">
      <w:pPr>
        <w:spacing w:before="20" w:after="200"/>
        <w:jc w:val="center"/>
        <w:rPr>
          <w:i/>
          <w:iCs/>
          <w:color w:val="59607A"/>
          <w:sz w:val="17"/>
          <w:szCs w:val="17"/>
        </w:rPr>
      </w:pPr>
      <w:r w:rsidRPr="009D75D3">
        <w:rPr>
          <w:i/>
          <w:iCs/>
          <w:color w:val="59607A"/>
          <w:sz w:val="17"/>
          <w:szCs w:val="17"/>
        </w:rPr>
        <w:lastRenderedPageBreak/>
        <w:drawing>
          <wp:inline distT="0" distB="0" distL="0" distR="0" wp14:anchorId="4ED1C26F" wp14:editId="701331B7">
            <wp:extent cx="5943600" cy="3380105"/>
            <wp:effectExtent l="0" t="0" r="0" b="0"/>
            <wp:docPr id="44719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99023" name=""/>
                    <pic:cNvPicPr/>
                  </pic:nvPicPr>
                  <pic:blipFill>
                    <a:blip r:embed="rId8"/>
                    <a:stretch>
                      <a:fillRect/>
                    </a:stretch>
                  </pic:blipFill>
                  <pic:spPr>
                    <a:xfrm>
                      <a:off x="0" y="0"/>
                      <a:ext cx="5943600" cy="3380105"/>
                    </a:xfrm>
                    <a:prstGeom prst="rect">
                      <a:avLst/>
                    </a:prstGeom>
                  </pic:spPr>
                </pic:pic>
              </a:graphicData>
            </a:graphic>
          </wp:inline>
        </w:drawing>
      </w:r>
    </w:p>
    <w:p w14:paraId="5C83B177" w14:textId="14FEEE1B" w:rsidR="00895937" w:rsidRDefault="00000000">
      <w:pPr>
        <w:spacing w:before="20" w:after="200"/>
        <w:jc w:val="center"/>
      </w:pPr>
      <w:r>
        <w:rPr>
          <w:i/>
          <w:iCs/>
          <w:color w:val="59607A"/>
          <w:sz w:val="17"/>
          <w:szCs w:val="17"/>
        </w:rPr>
        <w:t>Screenshot 2 — Executive Forecast Overview: Revenue / Non-Revenue / CAPEX by Country with the Lag-selection KPIs.</w:t>
      </w:r>
    </w:p>
    <w:p w14:paraId="2E42CC9B" w14:textId="2F9843D8" w:rsidR="009D75D3" w:rsidRDefault="009D75D3">
      <w:pPr>
        <w:spacing w:before="20" w:after="200"/>
        <w:jc w:val="center"/>
        <w:rPr>
          <w:i/>
          <w:iCs/>
          <w:color w:val="59607A"/>
          <w:sz w:val="17"/>
          <w:szCs w:val="17"/>
        </w:rPr>
      </w:pPr>
      <w:r w:rsidRPr="009D75D3">
        <w:rPr>
          <w:i/>
          <w:iCs/>
          <w:color w:val="59607A"/>
          <w:sz w:val="17"/>
          <w:szCs w:val="17"/>
        </w:rPr>
        <w:drawing>
          <wp:inline distT="0" distB="0" distL="0" distR="0" wp14:anchorId="7F6F6FFC" wp14:editId="72E0D049">
            <wp:extent cx="5943600" cy="3373755"/>
            <wp:effectExtent l="0" t="0" r="0" b="0"/>
            <wp:docPr id="34978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86872" name=""/>
                    <pic:cNvPicPr/>
                  </pic:nvPicPr>
                  <pic:blipFill>
                    <a:blip r:embed="rId9"/>
                    <a:stretch>
                      <a:fillRect/>
                    </a:stretch>
                  </pic:blipFill>
                  <pic:spPr>
                    <a:xfrm>
                      <a:off x="0" y="0"/>
                      <a:ext cx="5943600" cy="3373755"/>
                    </a:xfrm>
                    <a:prstGeom prst="rect">
                      <a:avLst/>
                    </a:prstGeom>
                  </pic:spPr>
                </pic:pic>
              </a:graphicData>
            </a:graphic>
          </wp:inline>
        </w:drawing>
      </w:r>
    </w:p>
    <w:p w14:paraId="4F6AB27B" w14:textId="2B671FFC" w:rsidR="00895937" w:rsidRDefault="00000000">
      <w:pPr>
        <w:spacing w:before="20" w:after="200"/>
        <w:jc w:val="center"/>
      </w:pPr>
      <w:r>
        <w:rPr>
          <w:i/>
          <w:iCs/>
          <w:color w:val="59607A"/>
          <w:sz w:val="17"/>
          <w:szCs w:val="17"/>
        </w:rPr>
        <w:t>Screenshot 3 — Lag Comparison matrix: Resultant / Lag 0 / Lag 1 side-by-side with actuals and variance.</w:t>
      </w:r>
    </w:p>
    <w:p w14:paraId="5D65A154" w14:textId="071E3580" w:rsidR="009D75D3" w:rsidRDefault="009D75D3">
      <w:pPr>
        <w:spacing w:before="20" w:after="200"/>
        <w:jc w:val="center"/>
        <w:rPr>
          <w:i/>
          <w:iCs/>
          <w:color w:val="59607A"/>
          <w:sz w:val="17"/>
          <w:szCs w:val="17"/>
        </w:rPr>
      </w:pPr>
      <w:r w:rsidRPr="009D75D3">
        <w:rPr>
          <w:i/>
          <w:iCs/>
          <w:color w:val="59607A"/>
          <w:sz w:val="17"/>
          <w:szCs w:val="17"/>
        </w:rPr>
        <w:lastRenderedPageBreak/>
        <w:drawing>
          <wp:inline distT="0" distB="0" distL="0" distR="0" wp14:anchorId="2CF720E1" wp14:editId="50939D25">
            <wp:extent cx="5943600" cy="3408680"/>
            <wp:effectExtent l="0" t="0" r="0" b="1270"/>
            <wp:docPr id="24847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71641" name=""/>
                    <pic:cNvPicPr/>
                  </pic:nvPicPr>
                  <pic:blipFill>
                    <a:blip r:embed="rId10"/>
                    <a:stretch>
                      <a:fillRect/>
                    </a:stretch>
                  </pic:blipFill>
                  <pic:spPr>
                    <a:xfrm>
                      <a:off x="0" y="0"/>
                      <a:ext cx="5943600" cy="3408680"/>
                    </a:xfrm>
                    <a:prstGeom prst="rect">
                      <a:avLst/>
                    </a:prstGeom>
                  </pic:spPr>
                </pic:pic>
              </a:graphicData>
            </a:graphic>
          </wp:inline>
        </w:drawing>
      </w:r>
    </w:p>
    <w:p w14:paraId="20B3448D" w14:textId="35A38658" w:rsidR="00895937" w:rsidRDefault="00000000">
      <w:pPr>
        <w:spacing w:before="20" w:after="200"/>
        <w:jc w:val="center"/>
      </w:pPr>
      <w:r>
        <w:rPr>
          <w:i/>
          <w:iCs/>
          <w:color w:val="59607A"/>
          <w:sz w:val="17"/>
          <w:szCs w:val="17"/>
        </w:rPr>
        <w:t>Screenshot 4 — Accuracy &amp; Bias page: accuracy vs horizon and bias by country.</w:t>
      </w:r>
    </w:p>
    <w:p w14:paraId="18599D4E" w14:textId="77777777" w:rsidR="00895937" w:rsidRDefault="00000000">
      <w:pPr>
        <w:pStyle w:val="Heading1"/>
      </w:pPr>
      <w:bookmarkStart w:id="10" w:name="_Toc232368017"/>
      <w:r>
        <w:t>9. Key Findings &amp; Insights</w:t>
      </w:r>
      <w:bookmarkEnd w:id="10"/>
    </w:p>
    <w:p w14:paraId="40F48923" w14:textId="77777777" w:rsidR="00895937" w:rsidRDefault="00000000">
      <w:pPr>
        <w:spacing w:after="120"/>
      </w:pPr>
      <w:r>
        <w:t>Computed on the corrected data (exact duplicates removed, realised periods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900"/>
        <w:gridCol w:w="1900"/>
        <w:gridCol w:w="1180"/>
        <w:gridCol w:w="1180"/>
      </w:tblGrid>
      <w:tr w:rsidR="00895937" w14:paraId="21F2C656"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tcPr>
          <w:p w14:paraId="003DC85A" w14:textId="77777777" w:rsidR="00895937" w:rsidRDefault="00000000">
            <w:r>
              <w:rPr>
                <w:b/>
                <w:bCs/>
                <w:color w:val="FFFFFF"/>
                <w:sz w:val="19"/>
                <w:szCs w:val="19"/>
              </w:rPr>
              <w:t>Lag</w:t>
            </w:r>
          </w:p>
        </w:tc>
        <w:tc>
          <w:tcPr>
            <w:tcW w:w="17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tcPr>
          <w:p w14:paraId="5D3BE6DB" w14:textId="77777777" w:rsidR="00895937" w:rsidRDefault="00000000">
            <w:r>
              <w:rPr>
                <w:b/>
                <w:bCs/>
                <w:color w:val="FFFFFF"/>
                <w:sz w:val="19"/>
                <w:szCs w:val="19"/>
              </w:rPr>
              <w:t>Measure</w:t>
            </w:r>
          </w:p>
        </w:tc>
        <w:tc>
          <w:tcPr>
            <w:tcW w:w="19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tcPr>
          <w:p w14:paraId="5E14484F" w14:textId="77777777" w:rsidR="00895937" w:rsidRDefault="00000000">
            <w:r>
              <w:rPr>
                <w:b/>
                <w:bCs/>
                <w:color w:val="FFFFFF"/>
                <w:sz w:val="19"/>
                <w:szCs w:val="19"/>
              </w:rPr>
              <w:t>Forecast Qty</w:t>
            </w:r>
          </w:p>
        </w:tc>
        <w:tc>
          <w:tcPr>
            <w:tcW w:w="19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tcPr>
          <w:p w14:paraId="4B26E460" w14:textId="77777777" w:rsidR="00895937" w:rsidRDefault="00000000">
            <w:r>
              <w:rPr>
                <w:b/>
                <w:bCs/>
                <w:color w:val="FFFFFF"/>
                <w:sz w:val="19"/>
                <w:szCs w:val="19"/>
              </w:rPr>
              <w:t>Actual Qty</w:t>
            </w:r>
          </w:p>
        </w:tc>
        <w:tc>
          <w:tcPr>
            <w:tcW w:w="118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tcPr>
          <w:p w14:paraId="2E14235F" w14:textId="77777777" w:rsidR="00895937" w:rsidRDefault="00000000">
            <w:r>
              <w:rPr>
                <w:b/>
                <w:bCs/>
                <w:color w:val="FFFFFF"/>
                <w:sz w:val="19"/>
                <w:szCs w:val="19"/>
              </w:rPr>
              <w:t>Accuracy %</w:t>
            </w:r>
          </w:p>
        </w:tc>
        <w:tc>
          <w:tcPr>
            <w:tcW w:w="118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tcPr>
          <w:p w14:paraId="559DCDF3" w14:textId="77777777" w:rsidR="00895937" w:rsidRDefault="00000000">
            <w:r>
              <w:rPr>
                <w:b/>
                <w:bCs/>
                <w:color w:val="FFFFFF"/>
                <w:sz w:val="19"/>
                <w:szCs w:val="19"/>
              </w:rPr>
              <w:t>Bias %</w:t>
            </w:r>
          </w:p>
        </w:tc>
      </w:tr>
      <w:tr w:rsidR="00895937" w14:paraId="7A77449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9AF89A9" w14:textId="77777777" w:rsidR="00895937" w:rsidRDefault="00000000">
            <w:r>
              <w:rPr>
                <w:sz w:val="19"/>
                <w:szCs w:val="19"/>
              </w:rPr>
              <w:t>Resultant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E410FFB" w14:textId="77777777" w:rsidR="00895937" w:rsidRDefault="00000000">
            <w:r>
              <w:rPr>
                <w:sz w:val="19"/>
                <w:szCs w:val="19"/>
              </w:rPr>
              <w:t>Revenue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10EE621" w14:textId="77777777" w:rsidR="00895937" w:rsidRDefault="00000000">
            <w:r>
              <w:rPr>
                <w:sz w:val="19"/>
                <w:szCs w:val="19"/>
              </w:rPr>
              <w:t>1,276,145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9F4094" w14:textId="77777777" w:rsidR="00895937" w:rsidRDefault="00000000">
            <w:r>
              <w:rPr>
                <w:sz w:val="19"/>
                <w:szCs w:val="19"/>
              </w:rPr>
              <w:t>6,289,571</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F7D3745" w14:textId="77777777" w:rsidR="00895937" w:rsidRDefault="00000000">
            <w:r>
              <w:rPr>
                <w:sz w:val="19"/>
                <w:szCs w:val="19"/>
              </w:rPr>
              <w:t>20.3%</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1BE3EAE" w14:textId="77777777" w:rsidR="00895937" w:rsidRDefault="00000000">
            <w:r>
              <w:rPr>
                <w:sz w:val="19"/>
                <w:szCs w:val="19"/>
              </w:rPr>
              <w:t>-79.7%</w:t>
            </w:r>
          </w:p>
        </w:tc>
      </w:tr>
      <w:tr w:rsidR="00895937" w14:paraId="3241CBA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5FB"/>
            <w:tcMar>
              <w:top w:w="50" w:type="dxa"/>
              <w:left w:w="100" w:type="dxa"/>
              <w:bottom w:w="50" w:type="dxa"/>
              <w:right w:w="100" w:type="dxa"/>
            </w:tcMar>
          </w:tcPr>
          <w:p w14:paraId="4C8F5B94" w14:textId="77777777" w:rsidR="00895937" w:rsidRDefault="00000000">
            <w:r>
              <w:rPr>
                <w:sz w:val="19"/>
                <w:szCs w:val="19"/>
              </w:rPr>
              <w:t>Lag 0</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50" w:type="dxa"/>
              <w:left w:w="100" w:type="dxa"/>
              <w:bottom w:w="50" w:type="dxa"/>
              <w:right w:w="100" w:type="dxa"/>
            </w:tcMar>
          </w:tcPr>
          <w:p w14:paraId="32B91DF3" w14:textId="77777777" w:rsidR="00895937" w:rsidRDefault="00000000">
            <w:r>
              <w:rPr>
                <w:sz w:val="19"/>
                <w:szCs w:val="19"/>
              </w:rPr>
              <w:t>Revenue</w:t>
            </w:r>
          </w:p>
        </w:tc>
        <w:tc>
          <w:tcPr>
            <w:tcW w:w="1900" w:type="dxa"/>
            <w:tcBorders>
              <w:top w:val="single" w:sz="1" w:space="0" w:color="CCCCCC"/>
              <w:left w:val="single" w:sz="1" w:space="0" w:color="CCCCCC"/>
              <w:bottom w:val="single" w:sz="1" w:space="0" w:color="CCCCCC"/>
              <w:right w:val="single" w:sz="1" w:space="0" w:color="CCCCCC"/>
            </w:tcBorders>
            <w:shd w:val="clear" w:color="auto" w:fill="F2F5FB"/>
            <w:tcMar>
              <w:top w:w="50" w:type="dxa"/>
              <w:left w:w="100" w:type="dxa"/>
              <w:bottom w:w="50" w:type="dxa"/>
              <w:right w:w="100" w:type="dxa"/>
            </w:tcMar>
          </w:tcPr>
          <w:p w14:paraId="02BEBD50" w14:textId="77777777" w:rsidR="00895937" w:rsidRDefault="00000000">
            <w:r>
              <w:rPr>
                <w:sz w:val="19"/>
                <w:szCs w:val="19"/>
              </w:rPr>
              <w:t>1,801,029</w:t>
            </w:r>
          </w:p>
        </w:tc>
        <w:tc>
          <w:tcPr>
            <w:tcW w:w="1900" w:type="dxa"/>
            <w:tcBorders>
              <w:top w:val="single" w:sz="1" w:space="0" w:color="CCCCCC"/>
              <w:left w:val="single" w:sz="1" w:space="0" w:color="CCCCCC"/>
              <w:bottom w:val="single" w:sz="1" w:space="0" w:color="CCCCCC"/>
              <w:right w:val="single" w:sz="1" w:space="0" w:color="CCCCCC"/>
            </w:tcBorders>
            <w:shd w:val="clear" w:color="auto" w:fill="F2F5FB"/>
            <w:tcMar>
              <w:top w:w="50" w:type="dxa"/>
              <w:left w:w="100" w:type="dxa"/>
              <w:bottom w:w="50" w:type="dxa"/>
              <w:right w:w="100" w:type="dxa"/>
            </w:tcMar>
          </w:tcPr>
          <w:p w14:paraId="6A7144DB" w14:textId="77777777" w:rsidR="00895937" w:rsidRDefault="00000000">
            <w:r>
              <w:rPr>
                <w:sz w:val="19"/>
                <w:szCs w:val="19"/>
              </w:rPr>
              <w:t>6,102,108</w:t>
            </w:r>
          </w:p>
        </w:tc>
        <w:tc>
          <w:tcPr>
            <w:tcW w:w="1180" w:type="dxa"/>
            <w:tcBorders>
              <w:top w:val="single" w:sz="1" w:space="0" w:color="CCCCCC"/>
              <w:left w:val="single" w:sz="1" w:space="0" w:color="CCCCCC"/>
              <w:bottom w:val="single" w:sz="1" w:space="0" w:color="CCCCCC"/>
              <w:right w:val="single" w:sz="1" w:space="0" w:color="CCCCCC"/>
            </w:tcBorders>
            <w:shd w:val="clear" w:color="auto" w:fill="F2F5FB"/>
            <w:tcMar>
              <w:top w:w="50" w:type="dxa"/>
              <w:left w:w="100" w:type="dxa"/>
              <w:bottom w:w="50" w:type="dxa"/>
              <w:right w:w="100" w:type="dxa"/>
            </w:tcMar>
          </w:tcPr>
          <w:p w14:paraId="166B7881" w14:textId="77777777" w:rsidR="00895937" w:rsidRDefault="00000000">
            <w:r>
              <w:rPr>
                <w:sz w:val="19"/>
                <w:szCs w:val="19"/>
              </w:rPr>
              <w:t>29.5%</w:t>
            </w:r>
          </w:p>
        </w:tc>
        <w:tc>
          <w:tcPr>
            <w:tcW w:w="1180" w:type="dxa"/>
            <w:tcBorders>
              <w:top w:val="single" w:sz="1" w:space="0" w:color="CCCCCC"/>
              <w:left w:val="single" w:sz="1" w:space="0" w:color="CCCCCC"/>
              <w:bottom w:val="single" w:sz="1" w:space="0" w:color="CCCCCC"/>
              <w:right w:val="single" w:sz="1" w:space="0" w:color="CCCCCC"/>
            </w:tcBorders>
            <w:shd w:val="clear" w:color="auto" w:fill="F2F5FB"/>
            <w:tcMar>
              <w:top w:w="50" w:type="dxa"/>
              <w:left w:w="100" w:type="dxa"/>
              <w:bottom w:w="50" w:type="dxa"/>
              <w:right w:w="100" w:type="dxa"/>
            </w:tcMar>
          </w:tcPr>
          <w:p w14:paraId="33FAA968" w14:textId="77777777" w:rsidR="00895937" w:rsidRDefault="00000000">
            <w:r>
              <w:rPr>
                <w:sz w:val="19"/>
                <w:szCs w:val="19"/>
              </w:rPr>
              <w:t>-70.5%</w:t>
            </w:r>
          </w:p>
        </w:tc>
      </w:tr>
      <w:tr w:rsidR="00895937" w14:paraId="611AA0A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12DB8F4" w14:textId="77777777" w:rsidR="00895937" w:rsidRDefault="00000000">
            <w:r>
              <w:rPr>
                <w:sz w:val="19"/>
                <w:szCs w:val="19"/>
              </w:rPr>
              <w:t>Lag 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21D3DD5" w14:textId="77777777" w:rsidR="00895937" w:rsidRDefault="00000000">
            <w:r>
              <w:rPr>
                <w:sz w:val="19"/>
                <w:szCs w:val="19"/>
              </w:rPr>
              <w:t>Revenue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6DA025F" w14:textId="77777777" w:rsidR="00895937" w:rsidRDefault="00000000">
            <w:r>
              <w:rPr>
                <w:sz w:val="19"/>
                <w:szCs w:val="19"/>
              </w:rPr>
              <w:t>1,203,338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499E93A" w14:textId="77777777" w:rsidR="00895937" w:rsidRDefault="00000000">
            <w:r>
              <w:rPr>
                <w:sz w:val="19"/>
                <w:szCs w:val="19"/>
              </w:rPr>
              <w:t>6,176,877</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F95336F" w14:textId="77777777" w:rsidR="00895937" w:rsidRDefault="00000000">
            <w:r>
              <w:rPr>
                <w:sz w:val="19"/>
                <w:szCs w:val="19"/>
              </w:rPr>
              <w:t>19.5%</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9E2E93E" w14:textId="77777777" w:rsidR="00895937" w:rsidRDefault="00000000">
            <w:r>
              <w:rPr>
                <w:sz w:val="19"/>
                <w:szCs w:val="19"/>
              </w:rPr>
              <w:t>-80.5%</w:t>
            </w:r>
          </w:p>
        </w:tc>
      </w:tr>
    </w:tbl>
    <w:p w14:paraId="5592ECAE" w14:textId="77777777" w:rsidR="00895937" w:rsidRDefault="00000000">
      <w:pPr>
        <w:pStyle w:val="ListParagraph"/>
        <w:numPr>
          <w:ilvl w:val="0"/>
          <w:numId w:val="2"/>
        </w:numPr>
        <w:spacing w:after="60"/>
      </w:pPr>
      <w:r>
        <w:t>Forecasts systematically under-shoot actuals (large negative bias) at every horizon, pointing to a persistent under-forecasting tendency that the business should investigate.</w:t>
      </w:r>
    </w:p>
    <w:p w14:paraId="008EB544" w14:textId="77777777" w:rsidR="00895937" w:rsidRDefault="00000000">
      <w:pPr>
        <w:pStyle w:val="ListParagraph"/>
        <w:numPr>
          <w:ilvl w:val="0"/>
          <w:numId w:val="2"/>
        </w:numPr>
        <w:spacing w:after="60"/>
      </w:pPr>
      <w:r>
        <w:t>Accuracy decays with horizon – near-term Revenue forecasts (~27% at 0 months out) outperform mid-horizon ones (~16% around 8–9 months out) – which is exactly why PeriodOffset was retained.</w:t>
      </w:r>
    </w:p>
    <w:p w14:paraId="7DCCB450" w14:textId="77777777" w:rsidR="00895937" w:rsidRDefault="00000000">
      <w:pPr>
        <w:pStyle w:val="ListParagraph"/>
        <w:numPr>
          <w:ilvl w:val="0"/>
          <w:numId w:val="2"/>
        </w:numPr>
        <w:spacing w:after="60"/>
      </w:pPr>
      <w:r>
        <w:t>Non-Revenue and CAPEX actuals are near-zero / zero in this sample, so Revenue is the only measure with a meaningful accuracy signal – flagged rather than hidden.</w:t>
      </w:r>
    </w:p>
    <w:p w14:paraId="312E4D43" w14:textId="77777777" w:rsidR="00895937" w:rsidRDefault="00000000">
      <w:pPr>
        <w:pStyle w:val="ListParagraph"/>
        <w:numPr>
          <w:ilvl w:val="0"/>
          <w:numId w:val="2"/>
        </w:numPr>
        <w:spacing w:after="60"/>
      </w:pPr>
      <w:r>
        <w:t>These figures are sensitive to the duplicate-handling rule; the headline message of the case is that data hygiene must precede KPI calculation.</w:t>
      </w:r>
    </w:p>
    <w:p w14:paraId="5856CD71" w14:textId="2D62C0D3" w:rsidR="00895937" w:rsidRDefault="009D75D3">
      <w:pPr>
        <w:spacing w:before="100" w:after="20"/>
        <w:jc w:val="center"/>
      </w:pPr>
      <w:r w:rsidRPr="009D75D3">
        <w:lastRenderedPageBreak/>
        <w:drawing>
          <wp:inline distT="0" distB="0" distL="0" distR="0" wp14:anchorId="408C284F" wp14:editId="5BF32761">
            <wp:extent cx="3721291" cy="2197213"/>
            <wp:effectExtent l="0" t="0" r="0" b="0"/>
            <wp:docPr id="14702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6155" name=""/>
                    <pic:cNvPicPr/>
                  </pic:nvPicPr>
                  <pic:blipFill>
                    <a:blip r:embed="rId11"/>
                    <a:stretch>
                      <a:fillRect/>
                    </a:stretch>
                  </pic:blipFill>
                  <pic:spPr>
                    <a:xfrm>
                      <a:off x="0" y="0"/>
                      <a:ext cx="3721291" cy="2197213"/>
                    </a:xfrm>
                    <a:prstGeom prst="rect">
                      <a:avLst/>
                    </a:prstGeom>
                  </pic:spPr>
                </pic:pic>
              </a:graphicData>
            </a:graphic>
          </wp:inline>
        </w:drawing>
      </w:r>
    </w:p>
    <w:p w14:paraId="15145A8B" w14:textId="77777777" w:rsidR="00895937" w:rsidRDefault="00000000">
      <w:pPr>
        <w:spacing w:after="160"/>
        <w:jc w:val="center"/>
      </w:pPr>
      <w:r>
        <w:rPr>
          <w:i/>
          <w:iCs/>
          <w:color w:val="59607A"/>
          <w:sz w:val="17"/>
          <w:szCs w:val="17"/>
        </w:rPr>
        <w:t>Figure 1 — Accuracy generally weakens as the forecast horizon lengthens (Revenue, realised periods).</w:t>
      </w:r>
    </w:p>
    <w:p w14:paraId="48E24EF4" w14:textId="0C963384" w:rsidR="00895937" w:rsidRDefault="009D75D3">
      <w:pPr>
        <w:spacing w:before="100" w:after="20"/>
        <w:jc w:val="center"/>
      </w:pPr>
      <w:r w:rsidRPr="009D75D3">
        <w:drawing>
          <wp:inline distT="0" distB="0" distL="0" distR="0" wp14:anchorId="79430E30" wp14:editId="1C845355">
            <wp:extent cx="3721291" cy="2235315"/>
            <wp:effectExtent l="0" t="0" r="0" b="0"/>
            <wp:docPr id="104106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61313" name=""/>
                    <pic:cNvPicPr/>
                  </pic:nvPicPr>
                  <pic:blipFill>
                    <a:blip r:embed="rId12"/>
                    <a:stretch>
                      <a:fillRect/>
                    </a:stretch>
                  </pic:blipFill>
                  <pic:spPr>
                    <a:xfrm>
                      <a:off x="0" y="0"/>
                      <a:ext cx="3721291" cy="2235315"/>
                    </a:xfrm>
                    <a:prstGeom prst="rect">
                      <a:avLst/>
                    </a:prstGeom>
                  </pic:spPr>
                </pic:pic>
              </a:graphicData>
            </a:graphic>
          </wp:inline>
        </w:drawing>
      </w:r>
    </w:p>
    <w:p w14:paraId="2CFBB2EB" w14:textId="77777777" w:rsidR="00895937" w:rsidRDefault="00000000">
      <w:pPr>
        <w:spacing w:after="160"/>
        <w:jc w:val="center"/>
      </w:pPr>
      <w:r>
        <w:rPr>
          <w:i/>
          <w:iCs/>
          <w:color w:val="59607A"/>
          <w:sz w:val="17"/>
          <w:szCs w:val="17"/>
        </w:rPr>
        <w:t>Figure 2 — Forecast bias by Country: A and C under-forecast, B and D over-forecast (Revenue, realised).</w:t>
      </w:r>
    </w:p>
    <w:p w14:paraId="4F0BB7C3" w14:textId="77777777" w:rsidR="00895937" w:rsidRDefault="00000000">
      <w:pPr>
        <w:spacing w:after="120"/>
      </w:pPr>
      <w:r>
        <w:rPr>
          <w:i/>
          <w:iCs/>
        </w:rPr>
        <w:t>Note: Figures 1–2 are charted directly from the model data to illustrate the findings; Screenshots 1–4 above show the live Power BI dashboard.</w:t>
      </w:r>
    </w:p>
    <w:p w14:paraId="0F959E3E" w14:textId="77777777" w:rsidR="00895937" w:rsidRDefault="00000000">
      <w:pPr>
        <w:pStyle w:val="Heading1"/>
      </w:pPr>
      <w:bookmarkStart w:id="11" w:name="_Toc232368018"/>
      <w:r>
        <w:t>10. Scalability &amp; Robustness</w:t>
      </w:r>
      <w:bookmarkEnd w:id="11"/>
    </w:p>
    <w:p w14:paraId="79E4614C" w14:textId="77777777" w:rsidR="00895937" w:rsidRDefault="00000000">
      <w:pPr>
        <w:pStyle w:val="ListParagraph"/>
        <w:numPr>
          <w:ilvl w:val="0"/>
          <w:numId w:val="2"/>
        </w:numPr>
        <w:spacing w:after="60"/>
      </w:pPr>
      <w:r>
        <w:t>Lag labelling is rank-derived, so new snapshots are absorbed without edits.</w:t>
      </w:r>
    </w:p>
    <w:p w14:paraId="4975AA54" w14:textId="77777777" w:rsidR="00895937" w:rsidRDefault="00000000">
      <w:pPr>
        <w:pStyle w:val="ListParagraph"/>
        <w:numPr>
          <w:ilvl w:val="0"/>
          <w:numId w:val="2"/>
        </w:numPr>
        <w:spacing w:after="60"/>
      </w:pPr>
      <w:r>
        <w:t>All logic lives in Power Query (M) and DAX measures – fully refreshable, no manual restructuring.</w:t>
      </w:r>
    </w:p>
    <w:p w14:paraId="42142CF6" w14:textId="77777777" w:rsidR="00895937" w:rsidRDefault="00000000">
      <w:pPr>
        <w:pStyle w:val="ListParagraph"/>
        <w:numPr>
          <w:ilvl w:val="0"/>
          <w:numId w:val="2"/>
        </w:numPr>
        <w:spacing w:after="60"/>
      </w:pPr>
      <w:r>
        <w:t>Exact-duplicate removal and DIVIDE-guarded KPIs make the model resilient to the data issues present in the source.</w:t>
      </w:r>
    </w:p>
    <w:p w14:paraId="1B0DA80B" w14:textId="77777777" w:rsidR="00895937" w:rsidRDefault="00000000">
      <w:pPr>
        <w:pStyle w:val="ListParagraph"/>
        <w:numPr>
          <w:ilvl w:val="0"/>
          <w:numId w:val="2"/>
        </w:numPr>
        <w:spacing w:after="60"/>
      </w:pPr>
      <w:r>
        <w:t>Staging queries disabled from load; long-and-narrow fact keeps the model compact despite ~0.7M rows.</w:t>
      </w:r>
    </w:p>
    <w:p w14:paraId="75F47D31" w14:textId="77777777" w:rsidR="00895937" w:rsidRDefault="00000000">
      <w:pPr>
        <w:pStyle w:val="Heading1"/>
      </w:pPr>
      <w:bookmarkStart w:id="12" w:name="_Toc232368019"/>
      <w:r>
        <w:t>11. Assumptions &amp; Limitations</w:t>
      </w:r>
      <w:bookmarkEnd w:id="12"/>
    </w:p>
    <w:p w14:paraId="3F73C0C7" w14:textId="77777777" w:rsidR="00895937" w:rsidRDefault="00000000">
      <w:pPr>
        <w:pStyle w:val="ListParagraph"/>
        <w:numPr>
          <w:ilvl w:val="0"/>
          <w:numId w:val="2"/>
        </w:numPr>
        <w:spacing w:after="60"/>
      </w:pPr>
      <w:r>
        <w:t>Period text (“YYYY Pnn”) sorts chronologically; a dedicated calendar dimension can be added for richer time intelligence.</w:t>
      </w:r>
    </w:p>
    <w:p w14:paraId="56B7756C" w14:textId="77777777" w:rsidR="00895937" w:rsidRDefault="00000000">
      <w:pPr>
        <w:pStyle w:val="ListParagraph"/>
        <w:numPr>
          <w:ilvl w:val="0"/>
          <w:numId w:val="2"/>
        </w:numPr>
        <w:spacing w:after="60"/>
      </w:pPr>
      <w:r>
        <w:lastRenderedPageBreak/>
        <w:t>PeriodOffset (horizon) and Set_vs_FG are retained and used; the five anonymised Segmentation_ codes are kept as optional drill dimensions but Country remains the main analysis axis per the brief. Lifecycle (~95% blank) is excluded.</w:t>
      </w:r>
    </w:p>
    <w:p w14:paraId="572095FC" w14:textId="77777777" w:rsidR="00895937" w:rsidRDefault="00000000">
      <w:pPr>
        <w:pStyle w:val="ListParagraph"/>
        <w:numPr>
          <w:ilvl w:val="0"/>
          <w:numId w:val="2"/>
        </w:numPr>
        <w:spacing w:after="60"/>
      </w:pPr>
      <w:r>
        <w:t>The Bias “Sales Actuals” interpretation (same-measure actual) is stated above and can be re-pointed to Revenue actuals if the business intends otherwise.</w:t>
      </w:r>
    </w:p>
    <w:p w14:paraId="1826D804" w14:textId="77777777" w:rsidR="00895937" w:rsidRDefault="00000000">
      <w:pPr>
        <w:pStyle w:val="ListParagraph"/>
        <w:numPr>
          <w:ilvl w:val="0"/>
          <w:numId w:val="2"/>
        </w:numPr>
        <w:spacing w:after="60"/>
      </w:pPr>
      <w:r>
        <w:t>The dashboard was authored manually in Power BI Desktop; no generative-AI report-building feature was used, per the assessment rules.</w:t>
      </w:r>
    </w:p>
    <w:sectPr w:rsidR="00895937">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02812" w14:textId="77777777" w:rsidR="007F4B13" w:rsidRDefault="007F4B13">
      <w:r>
        <w:separator/>
      </w:r>
    </w:p>
  </w:endnote>
  <w:endnote w:type="continuationSeparator" w:id="0">
    <w:p w14:paraId="4CB1F917" w14:textId="77777777" w:rsidR="007F4B13" w:rsidRDefault="007F4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CC437" w14:textId="77777777" w:rsidR="00895937" w:rsidRDefault="00000000">
    <w:pPr>
      <w:jc w:val="center"/>
    </w:pPr>
    <w:r>
      <w:rPr>
        <w:color w:val="59607A"/>
        <w:sz w:val="16"/>
        <w:szCs w:val="16"/>
      </w:rPr>
      <w:t xml:space="preserve">Case Study 2 – SIOP Reporting   |   Page </w:t>
    </w:r>
    <w:r>
      <w:rPr>
        <w:color w:val="59607A"/>
        <w:sz w:val="16"/>
        <w:szCs w:val="16"/>
      </w:rPr>
      <w:fldChar w:fldCharType="begin"/>
    </w:r>
    <w:r>
      <w:rPr>
        <w:color w:val="59607A"/>
        <w:sz w:val="16"/>
        <w:szCs w:val="16"/>
      </w:rPr>
      <w:instrText>PAGE</w:instrText>
    </w:r>
    <w:r>
      <w:rPr>
        <w:color w:val="59607A"/>
        <w:sz w:val="16"/>
        <w:szCs w:val="16"/>
      </w:rPr>
      <w:fldChar w:fldCharType="separate"/>
    </w:r>
    <w:r w:rsidR="009D75D3">
      <w:rPr>
        <w:noProof/>
        <w:color w:val="59607A"/>
        <w:sz w:val="16"/>
        <w:szCs w:val="16"/>
      </w:rPr>
      <w:t>1</w:t>
    </w:r>
    <w:r>
      <w:rPr>
        <w:color w:val="5960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D27A7" w14:textId="77777777" w:rsidR="007F4B13" w:rsidRDefault="007F4B13">
      <w:r>
        <w:separator/>
      </w:r>
    </w:p>
  </w:footnote>
  <w:footnote w:type="continuationSeparator" w:id="0">
    <w:p w14:paraId="6888F701" w14:textId="77777777" w:rsidR="007F4B13" w:rsidRDefault="007F4B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63F7D"/>
    <w:multiLevelType w:val="hybridMultilevel"/>
    <w:tmpl w:val="D7F8CF4E"/>
    <w:lvl w:ilvl="0" w:tplc="754AFC84">
      <w:start w:val="1"/>
      <w:numFmt w:val="decimal"/>
      <w:lvlText w:val="%1."/>
      <w:lvlJc w:val="left"/>
      <w:pPr>
        <w:ind w:left="540" w:hanging="280"/>
      </w:pPr>
    </w:lvl>
    <w:lvl w:ilvl="1" w:tplc="D9C4D6F8">
      <w:numFmt w:val="decimal"/>
      <w:lvlText w:val=""/>
      <w:lvlJc w:val="left"/>
    </w:lvl>
    <w:lvl w:ilvl="2" w:tplc="980C9A98">
      <w:numFmt w:val="decimal"/>
      <w:lvlText w:val=""/>
      <w:lvlJc w:val="left"/>
    </w:lvl>
    <w:lvl w:ilvl="3" w:tplc="30A6D4B8">
      <w:numFmt w:val="decimal"/>
      <w:lvlText w:val=""/>
      <w:lvlJc w:val="left"/>
    </w:lvl>
    <w:lvl w:ilvl="4" w:tplc="161460AC">
      <w:numFmt w:val="decimal"/>
      <w:lvlText w:val=""/>
      <w:lvlJc w:val="left"/>
    </w:lvl>
    <w:lvl w:ilvl="5" w:tplc="36D8487A">
      <w:numFmt w:val="decimal"/>
      <w:lvlText w:val=""/>
      <w:lvlJc w:val="left"/>
    </w:lvl>
    <w:lvl w:ilvl="6" w:tplc="F8964150">
      <w:numFmt w:val="decimal"/>
      <w:lvlText w:val=""/>
      <w:lvlJc w:val="left"/>
    </w:lvl>
    <w:lvl w:ilvl="7" w:tplc="082011FA">
      <w:numFmt w:val="decimal"/>
      <w:lvlText w:val=""/>
      <w:lvlJc w:val="left"/>
    </w:lvl>
    <w:lvl w:ilvl="8" w:tplc="E5A6B282">
      <w:numFmt w:val="decimal"/>
      <w:lvlText w:val=""/>
      <w:lvlJc w:val="left"/>
    </w:lvl>
  </w:abstractNum>
  <w:abstractNum w:abstractNumId="1" w15:restartNumberingAfterBreak="0">
    <w:nsid w:val="4D713C76"/>
    <w:multiLevelType w:val="hybridMultilevel"/>
    <w:tmpl w:val="85AE0014"/>
    <w:lvl w:ilvl="0" w:tplc="48BCA62E">
      <w:start w:val="1"/>
      <w:numFmt w:val="bullet"/>
      <w:lvlText w:val="•"/>
      <w:lvlJc w:val="left"/>
      <w:pPr>
        <w:ind w:left="540" w:hanging="280"/>
      </w:pPr>
    </w:lvl>
    <w:lvl w:ilvl="1" w:tplc="AB963160">
      <w:numFmt w:val="decimal"/>
      <w:lvlText w:val=""/>
      <w:lvlJc w:val="left"/>
    </w:lvl>
    <w:lvl w:ilvl="2" w:tplc="AF54B83E">
      <w:numFmt w:val="decimal"/>
      <w:lvlText w:val=""/>
      <w:lvlJc w:val="left"/>
    </w:lvl>
    <w:lvl w:ilvl="3" w:tplc="D5362AF2">
      <w:numFmt w:val="decimal"/>
      <w:lvlText w:val=""/>
      <w:lvlJc w:val="left"/>
    </w:lvl>
    <w:lvl w:ilvl="4" w:tplc="E210FF34">
      <w:numFmt w:val="decimal"/>
      <w:lvlText w:val=""/>
      <w:lvlJc w:val="left"/>
    </w:lvl>
    <w:lvl w:ilvl="5" w:tplc="0344C372">
      <w:numFmt w:val="decimal"/>
      <w:lvlText w:val=""/>
      <w:lvlJc w:val="left"/>
    </w:lvl>
    <w:lvl w:ilvl="6" w:tplc="71CE8632">
      <w:numFmt w:val="decimal"/>
      <w:lvlText w:val=""/>
      <w:lvlJc w:val="left"/>
    </w:lvl>
    <w:lvl w:ilvl="7" w:tplc="A75E42D8">
      <w:numFmt w:val="decimal"/>
      <w:lvlText w:val=""/>
      <w:lvlJc w:val="left"/>
    </w:lvl>
    <w:lvl w:ilvl="8" w:tplc="ED36BD42">
      <w:numFmt w:val="decimal"/>
      <w:lvlText w:val=""/>
      <w:lvlJc w:val="left"/>
    </w:lvl>
  </w:abstractNum>
  <w:abstractNum w:abstractNumId="2" w15:restartNumberingAfterBreak="0">
    <w:nsid w:val="5E2A3CC1"/>
    <w:multiLevelType w:val="hybridMultilevel"/>
    <w:tmpl w:val="75CA4C52"/>
    <w:lvl w:ilvl="0" w:tplc="62FA85A4">
      <w:start w:val="1"/>
      <w:numFmt w:val="bullet"/>
      <w:lvlText w:val="●"/>
      <w:lvlJc w:val="left"/>
      <w:pPr>
        <w:ind w:left="720" w:hanging="360"/>
      </w:pPr>
    </w:lvl>
    <w:lvl w:ilvl="1" w:tplc="53E01794">
      <w:start w:val="1"/>
      <w:numFmt w:val="bullet"/>
      <w:lvlText w:val="○"/>
      <w:lvlJc w:val="left"/>
      <w:pPr>
        <w:ind w:left="1440" w:hanging="360"/>
      </w:pPr>
    </w:lvl>
    <w:lvl w:ilvl="2" w:tplc="FC5A8CEA">
      <w:start w:val="1"/>
      <w:numFmt w:val="bullet"/>
      <w:lvlText w:val="■"/>
      <w:lvlJc w:val="left"/>
      <w:pPr>
        <w:ind w:left="2160" w:hanging="360"/>
      </w:pPr>
    </w:lvl>
    <w:lvl w:ilvl="3" w:tplc="7B201C96">
      <w:start w:val="1"/>
      <w:numFmt w:val="bullet"/>
      <w:lvlText w:val="●"/>
      <w:lvlJc w:val="left"/>
      <w:pPr>
        <w:ind w:left="2880" w:hanging="360"/>
      </w:pPr>
    </w:lvl>
    <w:lvl w:ilvl="4" w:tplc="0C6853AE">
      <w:start w:val="1"/>
      <w:numFmt w:val="bullet"/>
      <w:lvlText w:val="○"/>
      <w:lvlJc w:val="left"/>
      <w:pPr>
        <w:ind w:left="3600" w:hanging="360"/>
      </w:pPr>
    </w:lvl>
    <w:lvl w:ilvl="5" w:tplc="ACA00862">
      <w:start w:val="1"/>
      <w:numFmt w:val="bullet"/>
      <w:lvlText w:val="■"/>
      <w:lvlJc w:val="left"/>
      <w:pPr>
        <w:ind w:left="4320" w:hanging="360"/>
      </w:pPr>
    </w:lvl>
    <w:lvl w:ilvl="6" w:tplc="0F5CB91A">
      <w:start w:val="1"/>
      <w:numFmt w:val="bullet"/>
      <w:lvlText w:val="●"/>
      <w:lvlJc w:val="left"/>
      <w:pPr>
        <w:ind w:left="5040" w:hanging="360"/>
      </w:pPr>
    </w:lvl>
    <w:lvl w:ilvl="7" w:tplc="C46AD210">
      <w:start w:val="1"/>
      <w:numFmt w:val="bullet"/>
      <w:lvlText w:val="●"/>
      <w:lvlJc w:val="left"/>
      <w:pPr>
        <w:ind w:left="5760" w:hanging="360"/>
      </w:pPr>
    </w:lvl>
    <w:lvl w:ilvl="8" w:tplc="28FA708C">
      <w:start w:val="1"/>
      <w:numFmt w:val="bullet"/>
      <w:lvlText w:val="●"/>
      <w:lvlJc w:val="left"/>
      <w:pPr>
        <w:ind w:left="6480" w:hanging="360"/>
      </w:pPr>
    </w:lvl>
  </w:abstractNum>
  <w:num w:numId="1" w16cid:durableId="1786656964">
    <w:abstractNumId w:val="2"/>
    <w:lvlOverride w:ilvl="0">
      <w:startOverride w:val="1"/>
    </w:lvlOverride>
  </w:num>
  <w:num w:numId="2" w16cid:durableId="638534176">
    <w:abstractNumId w:val="1"/>
    <w:lvlOverride w:ilvl="0">
      <w:startOverride w:val="1"/>
    </w:lvlOverride>
  </w:num>
  <w:num w:numId="3" w16cid:durableId="1992173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937"/>
    <w:rsid w:val="0071458E"/>
    <w:rsid w:val="007F4B13"/>
    <w:rsid w:val="00895937"/>
    <w:rsid w:val="009D7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D7C15"/>
  <w15:docId w15:val="{C05B1394-8A3B-4AE0-985A-03DC00617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E2761"/>
      <w:sz w:val="30"/>
      <w:szCs w:val="30"/>
    </w:rPr>
  </w:style>
  <w:style w:type="paragraph" w:styleId="Heading2">
    <w:name w:val="heading 2"/>
    <w:uiPriority w:val="9"/>
    <w:semiHidden/>
    <w:unhideWhenUsed/>
    <w:qFormat/>
    <w:pPr>
      <w:spacing w:before="180" w:after="100"/>
      <w:outlineLvl w:val="1"/>
    </w:pPr>
    <w:rPr>
      <w:b/>
      <w:bCs/>
      <w:color w:val="2E3A6B"/>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D75D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1654</Words>
  <Characters>9431</Characters>
  <Application>Microsoft Office Word</Application>
  <DocSecurity>0</DocSecurity>
  <Lines>78</Lines>
  <Paragraphs>22</Paragraphs>
  <ScaleCrop>false</ScaleCrop>
  <Company/>
  <LinksUpToDate>false</LinksUpToDate>
  <CharactersWithSpaces>11063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Candidate</dc:creator>
  <cp:lastModifiedBy>Rishabh Khale</cp:lastModifiedBy>
  <cp:revision>2</cp:revision>
  <dcterms:created xsi:type="dcterms:W3CDTF">2026-06-14T16:47:00Z</dcterms:created>
  <dcterms:modified xsi:type="dcterms:W3CDTF">2026-06-14T16:51:00Z</dcterms:modified>
</cp:coreProperties>
</file>