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Risk Analysis and Predictive Modeling</w:t>
      </w:r>
    </w:p>
    <w:p>
      <w:r>
        <w:t>Professional portfolio report for a client-style diabetes data analysis project.</w:t>
      </w:r>
    </w:p>
    <w:p>
      <w:pPr>
        <w:pStyle w:val="Heading1"/>
      </w:pPr>
      <w:r>
        <w:t>Executive Summary</w:t>
      </w:r>
    </w:p>
    <w:p>
      <w:r>
        <w:t>This project identifies the strongest indicators associated with diabetes and compares machine learning models for risk prediction.</w:t>
      </w:r>
    </w:p>
    <w:p>
      <w:pPr>
        <w:pStyle w:val="Heading1"/>
      </w:pPr>
      <w:r>
        <w:t>Methodology</w:t>
      </w:r>
    </w:p>
    <w:p>
      <w:r>
        <w:t>The workflow includes data quality assessment, invalid-zero treatment, median imputation, outlier capping, exploratory analysis, visualization, model training, and model evaluation.</w:t>
      </w:r>
    </w:p>
    <w:p>
      <w:pPr>
        <w:pStyle w:val="Heading1"/>
      </w:pPr>
      <w:r>
        <w:t>Key Findings</w:t>
      </w:r>
    </w:p>
    <w:p>
      <w:r>
        <w:t>Glucose is the strongest diabetes risk indicator in the dataset. BMI and age also show meaningful association with diabetes outcome.</w:t>
      </w:r>
    </w:p>
    <w:p>
      <w:pPr>
        <w:pStyle w:val="Heading1"/>
      </w:pPr>
      <w:r>
        <w:t>Recommendations</w:t>
      </w:r>
    </w:p>
    <w:p>
      <w:r>
        <w:t>Healthcare teams should monitor glucose, BMI, and age-group risk segments, and use predictive models as prioritization tools rather than diagnostic replacements.</w:t>
      </w:r>
    </w:p>
    <w:p>
      <w:pPr>
        <w:pStyle w:val="Heading1"/>
      </w:pPr>
      <w:r>
        <w:t>Selected Visualizations</w:t>
      </w:r>
    </w:p>
    <w:p>
      <w:r>
        <w:t>03 Correlation Heatmap</w:t>
      </w:r>
    </w:p>
    <w:p>
      <w:r>
        <w:drawing>
          <wp:inline xmlns:a="http://schemas.openxmlformats.org/drawingml/2006/main" xmlns:pic="http://schemas.openxmlformats.org/drawingml/2006/picture">
            <wp:extent cx="5669280" cy="46225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rrelation_heat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22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04 Scatter Glucose Bmi</w:t>
      </w:r>
    </w:p>
    <w:p>
      <w:r>
        <w:drawing>
          <wp:inline xmlns:a="http://schemas.openxmlformats.org/drawingml/2006/main" xmlns:pic="http://schemas.openxmlformats.org/drawingml/2006/picture">
            <wp:extent cx="5669280" cy="42309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catter_glucose_bm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30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07 Model Performance Comparison</w:t>
      </w:r>
    </w:p>
    <w:p>
      <w:r>
        <w:drawing>
          <wp:inline xmlns:a="http://schemas.openxmlformats.org/drawingml/2006/main" xmlns:pic="http://schemas.openxmlformats.org/drawingml/2006/picture">
            <wp:extent cx="5669280" cy="31165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model_performance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16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10 Feature Importance</w:t>
      </w:r>
    </w:p>
    <w:p>
      <w:r>
        <w:drawing>
          <wp:inline xmlns:a="http://schemas.openxmlformats.org/drawingml/2006/main" xmlns:pic="http://schemas.openxmlformats.org/drawingml/2006/picture">
            <wp:extent cx="5669280" cy="35118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feature_import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11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Full Markdown Report</w:t>
      </w:r>
    </w:p>
    <w:p>
      <w:r>
        <w:t>See: Diabetes_Risk_Analysis_Report.md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