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55E60" w14:textId="77777777" w:rsidR="008B1B0C" w:rsidRDefault="00000000">
      <w:pPr>
        <w:pStyle w:val="Title"/>
      </w:pPr>
      <w:r>
        <w:t>TITLE</w:t>
      </w:r>
    </w:p>
    <w:p w14:paraId="6B027272" w14:textId="77777777" w:rsidR="008B1B0C" w:rsidRDefault="00000000">
      <w:pPr>
        <w:pStyle w:val="Author"/>
      </w:pPr>
      <w:r>
        <w:t>author</w:t>
      </w:r>
    </w:p>
    <w:p w14:paraId="57ED7CFE" w14:textId="77777777" w:rsidR="008B1B0C" w:rsidRDefault="00000000">
      <w:pPr>
        <w:pStyle w:val="Heading1"/>
      </w:pPr>
      <w:bookmarkStart w:id="0" w:name="X0e18c539cd5625b5a7aa0c9b0786ae733057be6"/>
      <w:r>
        <w:t>Preface</w:t>
      </w:r>
    </w:p>
    <w:p w14:paraId="4CE10699" w14:textId="77777777" w:rsidR="008B1B0C" w:rsidRDefault="00000000">
      <w:pPr>
        <w:pStyle w:val="FirstParagraph"/>
      </w:pPr>
      <w:r>
        <w:t>The following text is just for demonstration purposes. It is not congruent.</w:t>
      </w:r>
    </w:p>
    <w:p w14:paraId="6FC6EBC1" w14:textId="77777777" w:rsidR="008B1B0C" w:rsidRDefault="00000000">
      <w:pPr>
        <w:pStyle w:val="ArabicSource"/>
        <w:bidi/>
      </w:pPr>
      <w:r>
        <w:rPr>
          <w:rtl/>
        </w:rPr>
        <w:t>وَلَفْظُ أَبِي دَاوُدَ: «وَهَلْ تَدْرُونَ بُعْدَ مَا بَيْنَ السَّمَاءِ وَالْأَرْضِ؟ قَالُوا: لَا نَدْرِي. قَالَ: بُعْدُ مَا بَيْنَهُمَا إِمَّا وَاحِدَةٌ أَوِ اثْنَتَانِ أَوِ ثَلَاثَةٌ وَسَبْعُونَ سَنَةً» . وَالْبَاقِي نَحْوُهُ. وَقَالَ أَبُو دَاوُدَ: حَدَّثَنَا عَبْدُ الْأَعْلَى بْنُ حَمَّادٍ، وَمُحَمَّدُ بْنُ الْمُثَنَّى، وَمُحَمَّدُ بْنُ بَشَّارٍ، وَأَحْمَدُ بْنُ سَعِيدٍ الرِّبَاطِيُّ، قَالُوا: حَدَّثَنَا وَهْبُ بْنْ جَرِيرٍ قَالَ أَحْمَدُ: كَتَبْنَاهُ مِنْ نُسْخَتِهِ وَهَذَا لَفْظُهُ قَالَ: حَدَّثَنَا أَبِي قَالَ: سَمِعْتُ مُحَمَّدَ بْنَ إِسْحَاقَ يُحَدِّثُ عَنْ يَعْقُوبَ بْنِ عُقْبَةَ، عَنْ جُبَيْرِ بْنِ مُحَمَّدِ بْنِ جُبَيْرِ بْنِ مُطْعِمٍ، عَنْ أَبِيهِ، عَنْ جَدِّهِ قَالَ: «أَتَى رَسُولَ اللَّهِ ﷺ أَعْرَابِيٌّ فَقَالَ: يَا رَسُولَ اللَّهِ جَهَدَتِ الْأَنْفُسُ، وَجَاعَتِ الْعِيَالُ، وَنَهَكَتِ الْأَمْوَالُ، وَهَلَكَتِ الْأَنْعَامُ، فَاسْتَسْقِ اللَّهَ لَنَا، فَإِنَّا نَسْتَشْفِعُ بِكَ عَلَى اللَّهِ، وَنَسْتَشْفِعُ بِاللَّهِ عَلَيْكَ، فَقَالَ رَسُولُ اللَّهِ ﷺ: وَيْحَكَ أَتَدْرِي مَا تَقُولُ؟ ! وَسَبَّحَ رَسُولُ اللَّهِ ﷺ، فَمَا زَالَ يُسَبِّحُ حَتَّى عُرِفَ ذَلِكَ فِي وُجُوهِ أَصْحَابِهِ، ثُمَّ قَالَ وَيْحَكَ إِنَّهُ لَا يُسْتَشْفَعُ بِاللَّهِ عَلَى أَحَدٍ مِنْ خَلْقِهِ، شَأْنُ اللَّهِ أَعْظَمُ مِنْ ذَلِكَ، وَيْحَكَ أَتَدْرِي مَا اللَّهُ؟ إِنَّ عَرْشَهُ عَلَى سَمَاوَاتِهِ لَهَكَذَا وَقَالَ بِأَصَابِعِهِ مِثْلَ الْقُبَّةِ عَلَيْهِ وَإِنَّهُ لَيَئِطُّ بِهِ أَطِيطَ الرَّحْلِ بِالرَّاكِبِ» . قَالَ ابْنُ بَشَّارٍ فِي حَدِيثِهِ: ««إِنَّ اللَّهَ فَوْقَ عَرْشِهِ وَعَرْشُهُ فَوْقَ سَمَاوَاتِهِ»». وَسَاقَ الْحَدِيثَ وَقَالَ عَبْدُ الْأَعْلَى، وَابْنُ الْمُثَنَّى، وَابْنُ بَشَّارٍ، عَنْ يَعْقُوبَ بْنِ عُقْبَةَ، وَجُبَيْرِ بْنِ مُحَمَّدِ بْنِ جُبَيْرٍ، عَنْ أَبِيهِ، عَنْ جَدِّهِ. وَالْحَدِيثُ بِإِسْنَادِ أَحْمَدَ بْنِ سَعِيدٍ، هُوَ الصَّحِيحُ، وَافَقَهُ عَلَيْهِ جَمَاعَةٌ مِنْهُمْ ; يَحْيَى بْنُ مَعِينٍ، وَعَلِيُّ بْنُ الْمَدِينِيِّ. وَرَوَاهُ جَمَاعَةٌ مِنْهُمْ عَنِ ابْنِ إِسْحَاقَ كَمَا قَالَ أَحْمَدُ أَيْضًا، وَكَانَ سَمَاعُ عَبْدِ الْأَعْلَى، وَابْنِ الْمُثَنَّى، وَابْنِ بَشَّارٍ مِنْ نُسْخَةٍ وَاحِدَةٍ فِيمَا بَلَغَنِي. تَفَرَّدَ بِإِخْرَاجِهَا أَبُو دَاوُدَ. وَقَدْ صَنَّفَ الْحَافِظُ أَبُو الْقَاسِمِ ابْنُ عَسَاكِرَ الدِّمَشْقِيُّ جُزْءًا فِي الرَّدِّ عَلَى هَذَا الْحَدِيثِ سَمَّاهُ بِ (بَيَانِ الْوَهْمِ وَالتَّخْلِيطِ الْوَاقِعِ فِي حَدِيثِ الْأَطِيطِ) وَاسْتَفْرَغَ وُسْعَهُ فِي الطَّعْنِ عَلَى مُحَمَّدِ بْنِ إِسْحَاقَ بْنِ يَسَارٍ رَاوِيهِ، وَذَكَرَ كَلَامَ النَّاسِ فِيهِ، وَلَكِنْ قَدْ رُوِيَ هَذَا اللَّفْظُ مِنْ طَرِيقٍ أُخْرَى، عَنْ غَيْرِ مُحَمَّدِ بْنِ إِسْحَاقَ، فَرَوَاهُ عَبْدُ بْنُ حُمَيْدٍ، وَابْنُ جَرِيرٍ فِي تَفْسِيرَيْهِمَا، وَابْنُ أَبِي عَاصِمٍ، وَالطَّبَرَانِيُّ فِي كِتَابَيِ السُّنَّةِ لَهُمَا، وَالْبَزَّارُ فِي مُسْنَدِهِ، وَالْحَافِظُ الضِّيَاءُ الْمَقْدِسِيُّ فِي مُخْتَارَاتِهِ مِنْ طَرِيقِ أَبِي إِسْحَاقَ السَّبِيعِيِّ، عَنْ عَبْدِ اللَّهِ بْنِ خَلِيفَةَ، عَنْ عُمَرَ بْنِ الْخَطَّابِ ﵁ قَالَ: «أَتَتِ امْرَأَةٌ إِلَى رَسُولِ اللَّهِ ﷺ فَقَالَتْ: ادْعُ اللَّهَ أَنْ يُدْخِلَنِي الْجَنَّةَ. قَالَ: فَعَظَّمَ الرَّبَّ ﵎ وَقَالَ: إِنَّ كُرْسِيَّهُ وَسِعَ السَّمَاوَاتِ وَالْأَرْضَ، وَإِنَّ لَهُ أَطِيطًا كَأَطِيطِ الرَّحْلِ الْجَدِيدِ مِنْ ثِقَلِهِ». عَبْدُ اللَّهِ بْنُ خَلِيفَةَ هَذَا لَيْسَ بِذَاكَ الْمَشْهُورِ، وَفِي سَمَاعِهِ مِنْ عُمَرَ نَظَرٌ، ثُمَّ مِنْهُمْ مَنْ يَرْوِيهِ مَوْقُوفًا وَمُرْسَلًا، وَمِنْهُمْ مَنْ يَزِيدُ فِيهِ زِيَادَةً غَرِيبَةً. وَاللَّهُ أَعْلَمُ.</w:t>
      </w:r>
    </w:p>
    <w:p w14:paraId="3D4F3297" w14:textId="77777777" w:rsidR="008B1B0C" w:rsidRDefault="00000000">
      <w:pPr>
        <w:pStyle w:val="EnglishTarget"/>
      </w:pPr>
      <w:r>
        <w:t>The wording of Abū Dāwūd is “«Do you know the distance between the heavens and the earth» They said, ‘We don’t know.’ He said, «The distance between them is 71, 72, or 73 years.»” The rest is similar.</w:t>
      </w:r>
    </w:p>
    <w:p w14:paraId="22549EDA" w14:textId="77777777" w:rsidR="008B1B0C" w:rsidRDefault="00000000">
      <w:pPr>
        <w:pStyle w:val="EnglishTarget"/>
      </w:pPr>
      <w:r>
        <w:t xml:space="preserve">Abū Dāwūd said, “ʿAbd al-Aʿlá ibn Ḥammād, Muḥammad ibn al-Muthanná, Muḥammad ibn Bashshār, and Aḥmad ibn Saʿīd al-Ribāṭī told us: Wahb ibn Jarīr told us: – we wrote from Aḥmad’s </w:t>
      </w:r>
      <w:r>
        <w:rPr>
          <w:rStyle w:val="HighlightC1"/>
        </w:rPr>
        <w:t>manuscript</w:t>
      </w:r>
      <w:r>
        <w:t xml:space="preserve"> </w:t>
      </w:r>
      <w:proofErr w:type="spellStart"/>
      <w:r w:rsidRPr="009C3611">
        <w:rPr>
          <w:rStyle w:val="HighlightC2"/>
        </w:rPr>
        <w:t>نُسْخَتِهِ</w:t>
      </w:r>
      <w:proofErr w:type="spellEnd"/>
      <w:r>
        <w:t xml:space="preserve"> and the wording is his – my father told us, who said, ‘I heard Muḥammad ibn Isḥāq </w:t>
      </w:r>
      <w:r>
        <w:rPr>
          <w:rStyle w:val="HighlightC1"/>
        </w:rPr>
        <w:t>يُحَدِّثُ</w:t>
      </w:r>
      <w:r>
        <w:t xml:space="preserve"> from Yaʿqūb ibn ʿUtbah, from Jubayr ibn Muḥammad ibn Jubayr </w:t>
      </w:r>
      <w:r>
        <w:lastRenderedPageBreak/>
        <w:t xml:space="preserve">ibn Muṭʿim, from his father, from his grandfather </w:t>
      </w:r>
      <w:r>
        <w:rPr>
          <w:rStyle w:val="HighlightWarn"/>
        </w:rPr>
        <w:t>Double check this chain</w:t>
      </w:r>
      <w:r>
        <w:t xml:space="preserve">, who said, “A bedouin came to the Messenger of Allāh </w:t>
      </w:r>
      <w:r>
        <w:rPr>
          <w:rStyle w:val="CharBodyHonorifics"/>
          <w:rtl/>
          <w:lang w:val="ar"/>
        </w:rPr>
        <w:t>صلى الله عليه وسلم</w:t>
      </w:r>
      <w:r>
        <w:t xml:space="preserve"> and said, ‘O Messenger of Allāh, our souls are weary, our families are hungry, our wealth is exhausted, and our livestock have perished. So, seek rain from Allāh for us, for we seek intercession through you with Allāh, and we seek Allāh’s intercession for you.’ So the Messenger of Allāh </w:t>
      </w:r>
      <w:r>
        <w:rPr>
          <w:rStyle w:val="CharBodyHonorifics"/>
          <w:rtl/>
          <w:lang w:val="ar"/>
        </w:rPr>
        <w:t>صلى الله عليه وسلم</w:t>
      </w:r>
      <w:r>
        <w:t xml:space="preserve"> said, «Woe to you, do you know what you are saying?» The Messenger of Allāh glorified Allāh (</w:t>
      </w:r>
      <w:r>
        <w:rPr>
          <w:i/>
          <w:iCs/>
        </w:rPr>
        <w:t>tasbīḥ</w:t>
      </w:r>
      <w:r>
        <w:t xml:space="preserve">), and he kept on doing so until it became apparent on the faces of his companions.[^tsbhfaces] He then said, «Woe to you! Do you know what is </w:t>
      </w:r>
      <w:r>
        <w:rPr>
          <w:rStyle w:val="HighlightC1"/>
        </w:rPr>
        <w:t>ADD WORD?</w:t>
      </w:r>
      <w:r>
        <w:t xml:space="preserve"> Allāh? Verily, His Throne is above the heavens like this – and he made his hand into dome-like shape (with the palm facing downwards and the fingers spread out in a circular fashion with their ends representing the boundaries of a dome) </w:t>
      </w:r>
      <w:r>
        <w:rPr>
          <w:rStyle w:val="HighlightC1"/>
        </w:rPr>
        <w:t xml:space="preserve">NOTE: </w:t>
      </w:r>
      <w:proofErr w:type="spellStart"/>
      <w:r>
        <w:rPr>
          <w:rStyle w:val="HighlightC1"/>
        </w:rPr>
        <w:t>وقال</w:t>
      </w:r>
      <w:proofErr w:type="spellEnd"/>
      <w:r>
        <w:rPr>
          <w:rStyle w:val="HighlightC1"/>
        </w:rPr>
        <w:t xml:space="preserve"> </w:t>
      </w:r>
      <w:proofErr w:type="spellStart"/>
      <w:r w:rsidRPr="009C3611">
        <w:rPr>
          <w:rStyle w:val="HighlightC1"/>
        </w:rPr>
        <w:t>بأصابعه</w:t>
      </w:r>
      <w:proofErr w:type="spellEnd"/>
      <w:r>
        <w:rPr>
          <w:rStyle w:val="HighlightC1"/>
        </w:rPr>
        <w:t xml:space="preserve"> </w:t>
      </w:r>
      <w:proofErr w:type="spellStart"/>
      <w:r>
        <w:rPr>
          <w:rStyle w:val="HighlightC1"/>
        </w:rPr>
        <w:t>مثلَ</w:t>
      </w:r>
      <w:proofErr w:type="spellEnd"/>
      <w:r>
        <w:rPr>
          <w:rStyle w:val="HighlightC1"/>
        </w:rPr>
        <w:t xml:space="preserve"> </w:t>
      </w:r>
      <w:proofErr w:type="spellStart"/>
      <w:r>
        <w:rPr>
          <w:rStyle w:val="HighlightC1"/>
        </w:rPr>
        <w:t>القُبَّةِ</w:t>
      </w:r>
      <w:proofErr w:type="spellEnd"/>
      <w:r>
        <w:rPr>
          <w:rStyle w:val="HighlightC1"/>
        </w:rPr>
        <w:t xml:space="preserve"> </w:t>
      </w:r>
      <w:proofErr w:type="spellStart"/>
      <w:r>
        <w:rPr>
          <w:rStyle w:val="HighlightC1"/>
        </w:rPr>
        <w:t>عليه</w:t>
      </w:r>
      <w:proofErr w:type="spellEnd"/>
      <w:r>
        <w:t xml:space="preserve"> – and squeaks just the like the squeaking of a saddle due to its </w:t>
      </w:r>
      <w:proofErr w:type="gramStart"/>
      <w:r>
        <w:t>rider.»</w:t>
      </w:r>
      <w:proofErr w:type="gramEnd"/>
      <w:r>
        <w:t>”’</w:t>
      </w:r>
    </w:p>
    <w:p w14:paraId="235EDC6D" w14:textId="77777777" w:rsidR="008B1B0C" w:rsidRDefault="00000000">
      <w:pPr>
        <w:pStyle w:val="BodyText"/>
      </w:pPr>
      <w:r>
        <w:t>Loans have to be paid back one day. Had this been realized by all, how nice life would have been on this Planet. It would not have prompted the poet to say “Neither be a Lender, nor a Borrower Be.” Alas! Given the realities in life, this could remain at best a wishful thinking.</w:t>
      </w:r>
    </w:p>
    <w:p w14:paraId="093B032A" w14:textId="77777777" w:rsidR="008B1B0C" w:rsidRDefault="00000000">
      <w:pPr>
        <w:pStyle w:val="BodyText"/>
      </w:pPr>
      <w:r>
        <w:t>As occurs in the Quran,</w:t>
      </w:r>
    </w:p>
    <w:p w14:paraId="37F51343" w14:textId="77777777" w:rsidR="008B1B0C" w:rsidRDefault="00000000">
      <w:pPr>
        <w:pStyle w:val="quran-arabic"/>
        <w:bidi/>
      </w:pPr>
      <w:r>
        <w:rPr>
          <w:rtl/>
          <w:lang w:val="ar"/>
        </w:rPr>
        <w:t>خِتَٰمُهُۥ مِسۡكٞۚ وَفِي ذَٰلِكَ فَلۡيَتَنَافَسِ ٱلۡمُتَنَٰفِسُونَ ٢٦</w:t>
      </w:r>
    </w:p>
    <w:p w14:paraId="4FF0C33C" w14:textId="77777777" w:rsidR="008B1B0C" w:rsidRDefault="00000000">
      <w:pPr>
        <w:pStyle w:val="quran-trans"/>
      </w:pPr>
      <w:r>
        <w:t>The last of it1 is musk. So for this let the competitors compete.</w:t>
      </w:r>
    </w:p>
    <w:p w14:paraId="627EC317" w14:textId="77777777" w:rsidR="008B1B0C" w:rsidRDefault="00000000">
      <w:pPr>
        <w:pStyle w:val="BodyText"/>
      </w:pPr>
      <w:r>
        <w:t xml:space="preserve">The Prophet </w:t>
      </w:r>
      <w:r>
        <w:rPr>
          <w:rStyle w:val="CharBodyHonorifics"/>
          <w:rtl/>
          <w:lang w:val="ar"/>
        </w:rPr>
        <w:t>صلى الله عليه وسلم</w:t>
      </w:r>
      <w:r>
        <w:t xml:space="preserve"> said,</w:t>
      </w:r>
    </w:p>
    <w:p w14:paraId="340F3195" w14:textId="77777777" w:rsidR="008B1B0C" w:rsidRDefault="00000000">
      <w:pPr>
        <w:pStyle w:val="hadith-arabic"/>
        <w:bidi/>
      </w:pPr>
      <w:r>
        <w:rPr>
          <w:rtl/>
          <w:lang w:val="ar"/>
        </w:rPr>
        <w:t>إنما الأعمال بالنيات.</w:t>
      </w:r>
    </w:p>
    <w:p w14:paraId="45EDEE01" w14:textId="77777777" w:rsidR="008B1B0C" w:rsidRDefault="00000000">
      <w:pPr>
        <w:pStyle w:val="hadith-trans"/>
      </w:pPr>
      <w:r>
        <w:t>“Deeds are by intention.”</w:t>
      </w:r>
    </w:p>
    <w:p w14:paraId="53D08423" w14:textId="77777777" w:rsidR="008B1B0C" w:rsidRDefault="00000000">
      <w:pPr>
        <w:pStyle w:val="BodyText"/>
      </w:pPr>
      <w:r>
        <w:t xml:space="preserve">So their business is to lend and lend more. Their proficiency; skill; competency are all tested in how much they lend and how much they </w:t>
      </w:r>
      <w:r>
        <w:rPr>
          <w:smallCaps/>
        </w:rPr>
        <w:t>recover</w:t>
      </w:r>
      <w:r>
        <w:t xml:space="preserve"> and how quickly. Suffice it would be to state that this can be likened to the vigour and strength with which one goes about after fully recovering from any ailment. It is agreed by al beyond doubt “Recovery” is essential and get “recovery” is very essential.</w:t>
      </w:r>
    </w:p>
    <w:p w14:paraId="016A2283" w14:textId="77777777" w:rsidR="008B1B0C" w:rsidRDefault="00000000">
      <w:pPr>
        <w:pStyle w:val="BodyText"/>
      </w:pPr>
      <w:r>
        <w:t>We know right form the appraisal stage up to the actual repayment stage the banks need to be careful. We also know that once the money is in the hands of a borrower, attitudinal changes take place. The borrower, with some few exceptions may be, feels a bit more complacent as after all it is not this “own money” which is at stake. Therefore an attempt is made here to put all that we know already proper perspective.</w:t>
      </w:r>
    </w:p>
    <w:p w14:paraId="5FBAAF5D" w14:textId="77777777" w:rsidR="008B1B0C" w:rsidRDefault="00000000">
      <w:pPr>
        <w:pStyle w:val="Heading1"/>
      </w:pPr>
      <w:bookmarkStart w:id="1" w:name="Xf58f2a37fa1d0fa2a7cb431a97fbadc522eb7ca"/>
      <w:bookmarkEnd w:id="0"/>
      <w:r>
        <w:t>Introduction</w:t>
      </w:r>
    </w:p>
    <w:p w14:paraId="17E67056" w14:textId="77777777" w:rsidR="008B1B0C" w:rsidRDefault="00000000">
      <w:pPr>
        <w:pStyle w:val="FirstParagraph"/>
      </w:pPr>
      <w:r>
        <w:t>How many times, since I left Lebanon in 1976 to live in France, have people asked me, with the best intentions in the world, whether I felt “more French” or “more Lebanese”? And I always give the same answer: “Both!” I say that not in the interests of fairness or balance, but because any other answer would be a lie. What makes me myself rather than anyone else is the fact that I am poised between two countries, two or three languages and several cultural traditions. It is precisely this that defines my identity. Would I exist more authentically if I cut off a part of myself?</w:t>
      </w:r>
    </w:p>
    <w:p w14:paraId="7E70413F" w14:textId="77777777" w:rsidR="008B1B0C" w:rsidRDefault="00000000">
      <w:pPr>
        <w:pStyle w:val="BodyText"/>
      </w:pPr>
      <w:r>
        <w:lastRenderedPageBreak/>
        <w:t>To those who ask the question, I patiently explain that I was born in Lebanon and lived there until I was 27; that Arabic is my mother tongue; that it was in Arabic translation that I first read Dumas and Dickens and Gulliver’s Travels; and that it was in my native village, the village of my ancestors, that I experienced the pleasures of childhood and heard some of the stories that were later to inspire my novels.</w:t>
      </w:r>
    </w:p>
    <w:p w14:paraId="3383FBF5" w14:textId="77777777" w:rsidR="008B1B0C" w:rsidRDefault="00000000">
      <w:pPr>
        <w:pStyle w:val="Heading1"/>
      </w:pPr>
      <w:bookmarkStart w:id="2" w:name="X940163a89b2debc3354f67a58bbb7055cdaeccb"/>
      <w:bookmarkEnd w:id="1"/>
      <w:r>
        <w:t>Le First Chapter</w:t>
      </w:r>
    </w:p>
    <w:p w14:paraId="6965B966" w14:textId="77777777" w:rsidR="008B1B0C" w:rsidRDefault="00000000">
      <w:pPr>
        <w:pStyle w:val="FirstParagraph"/>
      </w:pPr>
      <w:r>
        <w:t>This is the first chapter.</w:t>
      </w:r>
      <w:bookmarkEnd w:id="2"/>
    </w:p>
    <w:sectPr w:rsidR="008B1B0C" w:rsidSect="00410195">
      <w:footerReference w:type="default" r:id="rId7"/>
      <w:footnotePr>
        <w:numRestart w:val="eachSect"/>
      </w:footnotePr>
      <w:pgSz w:w="11906" w:h="16838"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D2C1" w14:textId="77777777" w:rsidR="003E5C47" w:rsidRDefault="003E5C47">
      <w:pPr>
        <w:spacing w:after="0"/>
      </w:pPr>
      <w:r>
        <w:separator/>
      </w:r>
    </w:p>
  </w:endnote>
  <w:endnote w:type="continuationSeparator" w:id="0">
    <w:p w14:paraId="56DAE5CF" w14:textId="77777777" w:rsidR="003E5C47" w:rsidRDefault="003E5C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KFGQPC HAFS Uthmanic Script">
    <w:panose1 w:val="02000000000000000000"/>
    <w:charset w:val="B2"/>
    <w:family w:val="auto"/>
    <w:pitch w:val="variable"/>
    <w:sig w:usb0="00002001" w:usb1="8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281178"/>
      <w:docPartObj>
        <w:docPartGallery w:val="Page Numbers (Bottom of Page)"/>
        <w:docPartUnique/>
      </w:docPartObj>
    </w:sdtPr>
    <w:sdtContent>
      <w:sdt>
        <w:sdtPr>
          <w:id w:val="1728636285"/>
          <w:docPartObj>
            <w:docPartGallery w:val="Page Numbers (Top of Page)"/>
            <w:docPartUnique/>
          </w:docPartObj>
        </w:sdtPr>
        <w:sdtContent>
          <w:p w14:paraId="5AF9C542" w14:textId="77777777" w:rsidR="00B7607A" w:rsidRDefault="00B7607A">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B115855" w14:textId="77777777" w:rsidR="00B7607A" w:rsidRDefault="00B760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D798C" w14:textId="77777777" w:rsidR="003E5C47" w:rsidRDefault="003E5C47">
      <w:pPr>
        <w:spacing w:after="0"/>
      </w:pPr>
      <w:r>
        <w:separator/>
      </w:r>
    </w:p>
  </w:footnote>
  <w:footnote w:type="continuationSeparator" w:id="0">
    <w:p w14:paraId="398AE1BD" w14:textId="77777777" w:rsidR="003E5C47" w:rsidRDefault="003E5C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A6B8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9097891">
    <w:abstractNumId w:val="0"/>
  </w:num>
  <w:num w:numId="2" w16cid:durableId="733627349">
    <w:abstractNumId w:val="0"/>
  </w:num>
  <w:num w:numId="3" w16cid:durableId="185337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639B"/>
    <w:rsid w:val="000F68DB"/>
    <w:rsid w:val="001A56E8"/>
    <w:rsid w:val="002C639B"/>
    <w:rsid w:val="003E5C47"/>
    <w:rsid w:val="00410195"/>
    <w:rsid w:val="008B1B0C"/>
    <w:rsid w:val="0092744A"/>
    <w:rsid w:val="009629DF"/>
    <w:rsid w:val="00980080"/>
    <w:rsid w:val="009A1E0F"/>
    <w:rsid w:val="009C3611"/>
    <w:rsid w:val="00A65E9E"/>
    <w:rsid w:val="00B7607A"/>
    <w:rsid w:val="00CB4048"/>
    <w:rsid w:val="00D57149"/>
    <w:rsid w:val="00D846DA"/>
    <w:rsid w:val="00DC2825"/>
    <w:rsid w:val="00E55526"/>
    <w:rsid w:val="00E90186"/>
    <w:rsid w:val="00F543D4"/>
    <w:rsid w:val="00F80A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69630"/>
  <w15:docId w15:val="{85BA3504-4164-471C-885C-559FED4FA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onorificsbody">
    <w:name w:val="honorifics_body"/>
    <w:basedOn w:val="CaptionChar"/>
    <w:rsid w:val="009629DF"/>
    <w:rPr>
      <w:color w:val="215E99" w:themeColor="text2" w:themeTint="BF"/>
    </w:rPr>
  </w:style>
  <w:style w:type="paragraph" w:customStyle="1" w:styleId="hadith-arabic">
    <w:name w:val="hadith-arabic"/>
    <w:basedOn w:val="BodyText"/>
    <w:qFormat/>
    <w:rsid w:val="00E55526"/>
    <w:pPr>
      <w:ind w:left="567" w:right="567"/>
    </w:pPr>
    <w:rPr>
      <w:color w:val="3A7C22" w:themeColor="accent6" w:themeShade="BF"/>
    </w:rPr>
  </w:style>
  <w:style w:type="paragraph" w:customStyle="1" w:styleId="hadith-trans">
    <w:name w:val="hadith-trans"/>
    <w:basedOn w:val="BodyText"/>
    <w:qFormat/>
    <w:rsid w:val="009A1E0F"/>
    <w:pPr>
      <w:ind w:left="567" w:right="567"/>
    </w:pPr>
    <w:rPr>
      <w:color w:val="3A7C22" w:themeColor="accent6" w:themeShade="BF"/>
    </w:rPr>
  </w:style>
  <w:style w:type="paragraph" w:customStyle="1" w:styleId="left-ragged">
    <w:name w:val="left-ragged"/>
    <w:basedOn w:val="BodyText"/>
    <w:qFormat/>
  </w:style>
  <w:style w:type="paragraph" w:customStyle="1" w:styleId="quran-arabic">
    <w:name w:val="quran-arabic"/>
    <w:basedOn w:val="BodyText"/>
    <w:qFormat/>
    <w:rsid w:val="00D57149"/>
    <w:pPr>
      <w:ind w:left="567" w:right="567"/>
    </w:pPr>
    <w:rPr>
      <w:rFonts w:cs="KFGQPC HAFS Uthmanic Script"/>
      <w:color w:val="215E99" w:themeColor="text2" w:themeTint="BF"/>
    </w:rPr>
  </w:style>
  <w:style w:type="paragraph" w:customStyle="1" w:styleId="quran-trans">
    <w:name w:val="quran-trans"/>
    <w:basedOn w:val="BodyText"/>
    <w:qFormat/>
    <w:rsid w:val="00D57149"/>
    <w:pPr>
      <w:ind w:left="567" w:right="567"/>
    </w:pPr>
    <w:rPr>
      <w:color w:val="215E99" w:themeColor="text2" w:themeTint="BF"/>
    </w:rPr>
  </w:style>
  <w:style w:type="paragraph" w:styleId="TOC1">
    <w:name w:val="toc 1"/>
    <w:basedOn w:val="Normal"/>
    <w:next w:val="Normal"/>
    <w:autoRedefine/>
    <w:uiPriority w:val="39"/>
    <w:rsid w:val="00CB4048"/>
    <w:pPr>
      <w:spacing w:after="100"/>
    </w:pPr>
  </w:style>
  <w:style w:type="paragraph" w:styleId="TOC2">
    <w:name w:val="toc 2"/>
    <w:basedOn w:val="Normal"/>
    <w:next w:val="Normal"/>
    <w:autoRedefine/>
    <w:uiPriority w:val="39"/>
    <w:rsid w:val="00CB4048"/>
    <w:pPr>
      <w:spacing w:after="100"/>
      <w:ind w:left="240"/>
    </w:pPr>
  </w:style>
  <w:style w:type="paragraph" w:styleId="Header">
    <w:name w:val="header"/>
    <w:basedOn w:val="Normal"/>
    <w:link w:val="HeaderChar"/>
    <w:rsid w:val="00B7607A"/>
    <w:pPr>
      <w:tabs>
        <w:tab w:val="center" w:pos="4320"/>
        <w:tab w:val="right" w:pos="8640"/>
      </w:tabs>
      <w:spacing w:after="0"/>
    </w:pPr>
  </w:style>
  <w:style w:type="character" w:customStyle="1" w:styleId="HeaderChar">
    <w:name w:val="Header Char"/>
    <w:basedOn w:val="DefaultParagraphFont"/>
    <w:link w:val="Header"/>
    <w:rsid w:val="00B7607A"/>
  </w:style>
  <w:style w:type="paragraph" w:styleId="Footer">
    <w:name w:val="footer"/>
    <w:basedOn w:val="Normal"/>
    <w:link w:val="FooterChar"/>
    <w:uiPriority w:val="99"/>
    <w:rsid w:val="00B7607A"/>
    <w:pPr>
      <w:tabs>
        <w:tab w:val="center" w:pos="4320"/>
        <w:tab w:val="right" w:pos="8640"/>
      </w:tabs>
      <w:spacing w:after="0"/>
    </w:pPr>
  </w:style>
  <w:style w:type="character" w:customStyle="1" w:styleId="FooterChar">
    <w:name w:val="Footer Char"/>
    <w:basedOn w:val="DefaultParagraphFont"/>
    <w:link w:val="Footer"/>
    <w:uiPriority w:val="99"/>
    <w:rsid w:val="00B7607A"/>
  </w:style>
  <w:style w:type="paragraph" w:customStyle="1" w:styleId="ArabicSource">
    <w:name w:val="Arabic Source"/>
    <w:basedOn w:val="BodyText"/>
    <w:qFormat/>
    <w:rsid w:val="009C3611"/>
    <w:pPr>
      <w:spacing w:line="360" w:lineRule="auto"/>
      <w:jc w:val="lowKashida"/>
    </w:pPr>
  </w:style>
  <w:style w:type="paragraph" w:customStyle="1" w:styleId="EnglishTarget">
    <w:name w:val="English Target"/>
    <w:basedOn w:val="BodyText"/>
    <w:qFormat/>
  </w:style>
  <w:style w:type="character" w:customStyle="1" w:styleId="CharBodyHonorifics">
    <w:name w:val="Char Body Honorifics"/>
  </w:style>
  <w:style w:type="character" w:customStyle="1" w:styleId="HighlightC1">
    <w:name w:val="Highlight C1"/>
    <w:rsid w:val="009C3611"/>
    <w:rPr>
      <w:color w:val="000000" w:themeColor="text1"/>
      <w:bdr w:val="none" w:sz="0" w:space="0" w:color="auto"/>
      <w:shd w:val="clear" w:color="auto" w:fill="FFFF00"/>
    </w:rPr>
  </w:style>
  <w:style w:type="character" w:customStyle="1" w:styleId="HighlightC2">
    <w:name w:val="Highlight C2"/>
    <w:rsid w:val="009C3611"/>
    <w:rPr>
      <w:bdr w:val="none" w:sz="0" w:space="0" w:color="auto"/>
      <w:shd w:val="clear" w:color="auto" w:fill="C1E4F5" w:themeFill="accent1" w:themeFillTint="33"/>
    </w:rPr>
  </w:style>
  <w:style w:type="character" w:customStyle="1" w:styleId="HighlightWarn">
    <w:name w:val="Highlight Warn"/>
    <w:rsid w:val="009C3611"/>
    <w:rPr>
      <w:bdr w:val="none" w:sz="0" w:space="0" w:color="auto"/>
      <w:shd w:val="clear" w:color="auto" w:fil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Full Calibri">
      <a:majorFont>
        <a:latin typeface="Calibri Light"/>
        <a:ea typeface=""/>
        <a:cs typeface="Calibri Light"/>
      </a:majorFont>
      <a:minorFont>
        <a:latin typeface="Calibri"/>
        <a:ea typeface=""/>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1112</Words>
  <Characters>6342</Characters>
  <Application>Microsoft Office Word</Application>
  <DocSecurity>0</DocSecurity>
  <Lines>52</Lines>
  <Paragraphs>14</Paragraphs>
  <ScaleCrop>false</ScaleCrop>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Mohammad Khalid Hussain</cp:lastModifiedBy>
  <cp:revision>3</cp:revision>
  <dcterms:created xsi:type="dcterms:W3CDTF">2026-04-25T19:23:00Z</dcterms:created>
  <dcterms:modified xsi:type="dcterms:W3CDTF">2026-04-25T19:50:00Z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utils/master.bib</vt:lpwstr>
  </property>
  <property fmtid="{D5CDD505-2E9C-101B-9397-08002B2CF9AE}" pid="3" name="csl">
    <vt:lpwstr>utils/chicago-fullnote-bibliography-short-title-subsequent.csl</vt:lpwstr>
  </property>
  <property fmtid="{D5CDD505-2E9C-101B-9397-08002B2CF9AE}" pid="4" name="date">
    <vt:lpwstr/>
  </property>
  <property fmtid="{D5CDD505-2E9C-101B-9397-08002B2CF9AE}" pid="5" name="reference-section-title">
    <vt:lpwstr>Bibliography</vt:lpwstr>
  </property>
</Properties>
</file>