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40"/>
        <w:jc w:val="center"/>
      </w:pPr>
      <w:r>
        <w:rPr>
          <w:rFonts w:ascii="Arial" w:cs="Arial" w:eastAsia="Arial" w:hAnsi="Arial"/>
          <w:b/>
          <w:bCs/>
          <w:color w:val="4F46E5"/>
          <w:sz w:val="72"/>
          <w:szCs w:val="72"/>
        </w:rPr>
        <w:t xml:space="preserve">PORTFOLIO SIMULATOR</w:t>
      </w:r>
    </w:p>
    <w:p>
      <w:pPr>
        <w:spacing w:after="720"/>
        <w:jc w:val="center"/>
      </w:pPr>
      <w:r>
        <w:rPr>
          <w:rFonts w:ascii="Arial" w:cs="Arial" w:eastAsia="Arial" w:hAnsi="Arial"/>
          <w:color w:val="566379"/>
          <w:sz w:val="40"/>
          <w:szCs w:val="40"/>
        </w:rPr>
        <w:t xml:space="preserve">User Instruction Manual</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5760"/>
      </w:tblGrid>
      <w:tr>
        <w:tc>
          <w:tcPr>
            <w:tcW w:type="dxa" w:w="5760"/>
            <w:tcBorders>
              <w:top w:val="single" w:color="4F46E5" w:sz="12"/>
              <w:left w:val="single" w:color="D6DEEA" w:sz="1"/>
              <w:bottom w:val="single" w:color="D6DEEA" w:sz="1"/>
              <w:right w:val="single" w:color="D6DEEA" w:sz="1"/>
            </w:tcBorders>
            <w:shd w:fill="EEF2FF" w:val="clear"/>
            <w:tcMar>
              <w:top w:type="dxa" w:w="280"/>
              <w:left w:type="dxa" w:w="400"/>
              <w:bottom w:type="dxa" w:w="280"/>
              <w:right w:type="dxa" w:w="400"/>
            </w:tcMar>
          </w:tcPr>
          <w:p>
            <w:pPr>
              <w:spacing w:after="80"/>
              <w:jc w:val="center"/>
            </w:pPr>
            <w:r>
              <w:rPr>
                <w:b/>
                <w:bCs/>
                <w:color w:val="4F46E5"/>
                <w:sz w:val="28"/>
                <w:szCs w:val="28"/>
              </w:rPr>
              <w:t xml:space="preserve">Sixty months.</w:t>
            </w:r>
          </w:p>
          <w:p>
            <w:pPr>
              <w:spacing w:after="80"/>
              <w:jc w:val="center"/>
            </w:pPr>
            <w:r>
              <w:rPr>
                <w:b/>
                <w:bCs/>
                <w:color w:val="16202E"/>
                <w:sz w:val="28"/>
                <w:szCs w:val="28"/>
              </w:rPr>
              <w:t xml:space="preserve">Thirty candidate projects.</w:t>
            </w:r>
          </w:p>
          <w:p>
            <w:pPr>
              <w:spacing w:after="80"/>
              <w:jc w:val="center"/>
            </w:pPr>
            <w:r>
              <w:rPr>
                <w:b/>
                <w:bCs/>
                <w:color w:val="16202E"/>
                <w:sz w:val="28"/>
                <w:szCs w:val="28"/>
              </w:rPr>
              <w:t xml:space="preserve">Enough budget for roughly twenty.</w:t>
            </w:r>
          </w:p>
          <w:p>
            <w:pPr>
              <w:spacing w:after="0"/>
              <w:jc w:val="center"/>
            </w:pPr>
            <w:r>
              <w:rPr>
                <w:color w:val="566379"/>
                <w:sz w:val="24"/>
                <w:szCs w:val="24"/>
              </w:rPr>
              <w:t xml:space="preserve">Select, fund, slow, and — when the money runs short — decide what gives.</w:t>
            </w:r>
          </w:p>
        </w:tc>
      </w:tr>
    </w:tbl>
    <w:p>
      <w:pPr>
        <w:spacing w:after="600"/>
      </w:pPr>
    </w:p>
    <w:p>
      <w:pPr>
        <w:spacing w:after="80"/>
        <w:jc w:val="center"/>
      </w:pPr>
      <w:r>
        <w:rPr>
          <w:color w:val="566379"/>
          <w:sz w:val="20"/>
          <w:szCs w:val="20"/>
        </w:rPr>
        <w:t xml:space="preserve">Version 1.0  ·  June 2026</w:t>
      </w:r>
    </w:p>
    <w:p>
      <w:pPr>
        <w:spacing w:after="0"/>
        <w:jc w:val="center"/>
      </w:pPr>
      <w:r>
        <w:rPr>
          <w:color w:val="4F46E5"/>
          <w:sz w:val="20"/>
          <w:szCs w:val="20"/>
        </w:rPr>
        <w:t xml:space="preserve">Run locally at http://localhost:5173</w:t>
      </w:r>
    </w:p>
    <w:p>
      <w:pPr>
        <w:spacing w:after="0"/>
      </w:pPr>
      <w:r>
        <w:br w:type="page"/>
      </w:r>
    </w:p>
    <w:p>
      <w:pPr>
        <w:pBdr>
          <w:bottom w:val="single" w:color="4F46E5" w:sz="8" w:space="6"/>
        </w:pBdr>
        <w:spacing w:after="240" w:before="0"/>
      </w:pPr>
      <w:r>
        <w:rPr>
          <w:rFonts w:ascii="Arial" w:cs="Arial" w:eastAsia="Arial" w:hAnsi="Arial"/>
          <w:b/>
          <w:bCs/>
          <w:color w:val="4F46E5"/>
          <w:sz w:val="36"/>
          <w:szCs w:val="36"/>
        </w:rPr>
        <w:t xml:space="preserve">Table of Contents</w:t>
      </w:r>
    </w:p>
    <w:p>
      <w:pPr>
        <w:spacing w:after="80"/>
      </w:pPr>
    </w:p>
    <w:p>
      <w:pPr>
        <w:spacing w:after="100"/>
      </w:pPr>
      <w:r>
        <w:rPr>
          <w:b/>
          <w:bCs/>
          <w:color w:val="4F46E5"/>
          <w:sz w:val="24"/>
          <w:szCs w:val="24"/>
        </w:rPr>
        <w:t xml:space="preserve">1.   Introduction</w:t>
      </w:r>
    </w:p>
    <w:p>
      <w:pPr>
        <w:spacing w:after="60"/>
        <w:ind w:left="360"/>
      </w:pPr>
      <w:r>
        <w:rPr>
          <w:b w:val="false"/>
          <w:bCs w:val="false"/>
          <w:color w:val="16202E"/>
          <w:sz w:val="22"/>
          <w:szCs w:val="22"/>
        </w:rPr>
        <w:t xml:space="preserve">1.1  What You Will Learn</w:t>
      </w:r>
    </w:p>
    <w:p>
      <w:pPr>
        <w:spacing w:after="60"/>
        <w:ind w:left="360"/>
      </w:pPr>
      <w:r>
        <w:rPr>
          <w:b w:val="false"/>
          <w:bCs w:val="false"/>
          <w:color w:val="16202E"/>
          <w:sz w:val="22"/>
          <w:szCs w:val="22"/>
        </w:rPr>
        <w:t xml:space="preserve">1.2  System Requirements</w:t>
      </w:r>
    </w:p>
    <w:p>
      <w:pPr>
        <w:spacing w:after="60"/>
        <w:ind w:left="360"/>
      </w:pPr>
      <w:r>
        <w:rPr>
          <w:b w:val="false"/>
          <w:bCs w:val="false"/>
          <w:color w:val="16202E"/>
          <w:sz w:val="22"/>
          <w:szCs w:val="22"/>
        </w:rPr>
        <w:t xml:space="preserve">1.3  Starting the Application</w:t>
      </w:r>
    </w:p>
    <w:p>
      <w:pPr>
        <w:spacing w:after="100"/>
      </w:pPr>
      <w:r>
        <w:rPr>
          <w:b/>
          <w:bCs/>
          <w:color w:val="4F46E5"/>
          <w:sz w:val="24"/>
          <w:szCs w:val="24"/>
        </w:rPr>
        <w:t xml:space="preserve">2.   Setup Screen</w:t>
      </w:r>
    </w:p>
    <w:p>
      <w:pPr>
        <w:spacing w:after="60"/>
        <w:ind w:left="360"/>
      </w:pPr>
      <w:r>
        <w:rPr>
          <w:b w:val="false"/>
          <w:bCs w:val="false"/>
          <w:color w:val="16202E"/>
          <w:sz w:val="22"/>
          <w:szCs w:val="22"/>
        </w:rPr>
        <w:t xml:space="preserve">2.1  Player Name and Run Name</w:t>
      </w:r>
    </w:p>
    <w:p>
      <w:pPr>
        <w:spacing w:after="60"/>
        <w:ind w:left="360"/>
      </w:pPr>
      <w:r>
        <w:rPr>
          <w:b w:val="false"/>
          <w:bCs w:val="false"/>
          <w:color w:val="16202E"/>
          <w:sz w:val="22"/>
          <w:szCs w:val="22"/>
        </w:rPr>
        <w:t xml:space="preserve">2.2  Difficulty Presets</w:t>
      </w:r>
    </w:p>
    <w:p>
      <w:pPr>
        <w:spacing w:after="60"/>
        <w:ind w:left="360"/>
      </w:pPr>
      <w:r>
        <w:rPr>
          <w:b w:val="false"/>
          <w:bCs w:val="false"/>
          <w:color w:val="16202E"/>
          <w:sz w:val="22"/>
          <w:szCs w:val="22"/>
        </w:rPr>
        <w:t xml:space="preserve">2.3  Custom Parameters</w:t>
      </w:r>
    </w:p>
    <w:p>
      <w:pPr>
        <w:spacing w:after="60"/>
        <w:ind w:left="360"/>
      </w:pPr>
      <w:r>
        <w:rPr>
          <w:b w:val="false"/>
          <w:bCs w:val="false"/>
          <w:color w:val="16202E"/>
          <w:sz w:val="22"/>
          <w:szCs w:val="22"/>
        </w:rPr>
        <w:t xml:space="preserve">2.4  Setup Screen Buttons</w:t>
      </w:r>
    </w:p>
    <w:p>
      <w:pPr>
        <w:spacing w:after="100"/>
      </w:pPr>
      <w:r>
        <w:rPr>
          <w:b/>
          <w:bCs/>
          <w:color w:val="4F46E5"/>
          <w:sz w:val="24"/>
          <w:szCs w:val="24"/>
        </w:rPr>
        <w:t xml:space="preserve">3.   The Simulation Interface</w:t>
      </w:r>
    </w:p>
    <w:p>
      <w:pPr>
        <w:spacing w:after="60"/>
        <w:ind w:left="360"/>
      </w:pPr>
      <w:r>
        <w:rPr>
          <w:b w:val="false"/>
          <w:bCs w:val="false"/>
          <w:color w:val="16202E"/>
          <w:sz w:val="22"/>
          <w:szCs w:val="22"/>
        </w:rPr>
        <w:t xml:space="preserve">3.1  The Header</w:t>
      </w:r>
    </w:p>
    <w:p>
      <w:pPr>
        <w:spacing w:after="60"/>
        <w:ind w:left="720"/>
      </w:pPr>
      <w:r>
        <w:rPr>
          <w:b w:val="false"/>
          <w:bCs w:val="false"/>
          <w:color w:val="16202E"/>
          <w:sz w:val="22"/>
          <w:szCs w:val="22"/>
        </w:rPr>
        <w:t xml:space="preserve">3.1.1  Quarter Timeline</w:t>
      </w:r>
    </w:p>
    <w:p>
      <w:pPr>
        <w:spacing w:after="60"/>
        <w:ind w:left="720"/>
      </w:pPr>
      <w:r>
        <w:rPr>
          <w:b w:val="false"/>
          <w:bCs w:val="false"/>
          <w:color w:val="16202E"/>
          <w:sz w:val="22"/>
          <w:szCs w:val="22"/>
        </w:rPr>
        <w:t xml:space="preserve">3.1.2  Available Balance</w:t>
      </w:r>
    </w:p>
    <w:p>
      <w:pPr>
        <w:spacing w:after="60"/>
        <w:ind w:left="720"/>
      </w:pPr>
      <w:r>
        <w:rPr>
          <w:b w:val="false"/>
          <w:bCs w:val="false"/>
          <w:color w:val="16202E"/>
          <w:sz w:val="22"/>
          <w:szCs w:val="22"/>
        </w:rPr>
        <w:t xml:space="preserve">3.1.3  Advance Button</w:t>
      </w:r>
    </w:p>
    <w:p>
      <w:pPr>
        <w:spacing w:after="60"/>
        <w:ind w:left="720"/>
      </w:pPr>
      <w:r>
        <w:rPr>
          <w:b w:val="false"/>
          <w:bCs w:val="false"/>
          <w:color w:val="16202E"/>
          <w:sz w:val="22"/>
          <w:szCs w:val="22"/>
        </w:rPr>
        <w:t xml:space="preserve">3.1.4  Header Controls</w:t>
      </w:r>
    </w:p>
    <w:p>
      <w:pPr>
        <w:spacing w:after="60"/>
        <w:ind w:left="360"/>
      </w:pPr>
      <w:r>
        <w:rPr>
          <w:b w:val="false"/>
          <w:bCs w:val="false"/>
          <w:color w:val="16202E"/>
          <w:sz w:val="22"/>
          <w:szCs w:val="22"/>
        </w:rPr>
        <w:t xml:space="preserve">3.2  The Left Decision Panel</w:t>
      </w:r>
    </w:p>
    <w:p>
      <w:pPr>
        <w:spacing w:after="60"/>
        <w:ind w:left="720"/>
      </w:pPr>
      <w:r>
        <w:rPr>
          <w:b w:val="false"/>
          <w:bCs w:val="false"/>
          <w:color w:val="16202E"/>
          <w:sz w:val="22"/>
          <w:szCs w:val="22"/>
        </w:rPr>
        <w:t xml:space="preserve">3.2.1  Quick-Add Strip</w:t>
      </w:r>
    </w:p>
    <w:p>
      <w:pPr>
        <w:spacing w:after="60"/>
        <w:ind w:left="720"/>
      </w:pPr>
      <w:r>
        <w:rPr>
          <w:b w:val="false"/>
          <w:bCs w:val="false"/>
          <w:color w:val="16202E"/>
          <w:sz w:val="22"/>
          <w:szCs w:val="22"/>
        </w:rPr>
        <w:t xml:space="preserve">3.2.2  Risk Alerts</w:t>
      </w:r>
    </w:p>
    <w:p>
      <w:pPr>
        <w:spacing w:after="60"/>
        <w:ind w:left="720"/>
      </w:pPr>
      <w:r>
        <w:rPr>
          <w:b w:val="false"/>
          <w:bCs w:val="false"/>
          <w:color w:val="16202E"/>
          <w:sz w:val="22"/>
          <w:szCs w:val="22"/>
        </w:rPr>
        <w:t xml:space="preserve">3.2.3  Active Projects</w:t>
      </w:r>
    </w:p>
    <w:p>
      <w:pPr>
        <w:spacing w:after="60"/>
        <w:ind w:left="720"/>
      </w:pPr>
      <w:r>
        <w:rPr>
          <w:b w:val="false"/>
          <w:bCs w:val="false"/>
          <w:color w:val="16202E"/>
          <w:sz w:val="22"/>
          <w:szCs w:val="22"/>
        </w:rPr>
        <w:t xml:space="preserve">3.2.4  Suspended Projects</w:t>
      </w:r>
    </w:p>
    <w:p>
      <w:pPr>
        <w:spacing w:after="60"/>
        <w:ind w:left="720"/>
      </w:pPr>
      <w:r>
        <w:rPr>
          <w:b w:val="false"/>
          <w:bCs w:val="false"/>
          <w:color w:val="16202E"/>
          <w:sz w:val="22"/>
          <w:szCs w:val="22"/>
        </w:rPr>
        <w:t xml:space="preserve">3.2.5  Available Projects Table</w:t>
      </w:r>
    </w:p>
    <w:p>
      <w:pPr>
        <w:spacing w:after="100"/>
      </w:pPr>
      <w:r>
        <w:rPr>
          <w:b/>
          <w:bCs/>
          <w:color w:val="4F46E5"/>
          <w:sz w:val="24"/>
          <w:szCs w:val="24"/>
        </w:rPr>
        <w:t xml:space="preserve">4.   Project Preview Modal</w:t>
      </w:r>
    </w:p>
    <w:p>
      <w:pPr>
        <w:spacing w:after="100"/>
      </w:pPr>
      <w:r>
        <w:rPr>
          <w:b/>
          <w:bCs/>
          <w:color w:val="4F46E5"/>
          <w:sz w:val="24"/>
          <w:szCs w:val="24"/>
        </w:rPr>
        <w:t xml:space="preserve">5.   Project Actions</w:t>
      </w:r>
    </w:p>
    <w:p>
      <w:pPr>
        <w:spacing w:after="60"/>
        <w:ind w:left="360"/>
      </w:pPr>
      <w:r>
        <w:rPr>
          <w:b w:val="false"/>
          <w:bCs w:val="false"/>
          <w:color w:val="16202E"/>
          <w:sz w:val="22"/>
          <w:szCs w:val="22"/>
        </w:rPr>
        <w:t xml:space="preserve">5.1  Add to Portfolio</w:t>
      </w:r>
    </w:p>
    <w:p>
      <w:pPr>
        <w:spacing w:after="60"/>
        <w:ind w:left="360"/>
      </w:pPr>
      <w:r>
        <w:rPr>
          <w:b w:val="false"/>
          <w:bCs w:val="false"/>
          <w:color w:val="16202E"/>
          <w:sz w:val="22"/>
          <w:szCs w:val="22"/>
        </w:rPr>
        <w:t xml:space="preserve">5.2  Speed Up</w:t>
      </w:r>
    </w:p>
    <w:p>
      <w:pPr>
        <w:spacing w:after="60"/>
        <w:ind w:left="360"/>
      </w:pPr>
      <w:r>
        <w:rPr>
          <w:b w:val="false"/>
          <w:bCs w:val="false"/>
          <w:color w:val="16202E"/>
          <w:sz w:val="22"/>
          <w:szCs w:val="22"/>
        </w:rPr>
        <w:t xml:space="preserve">5.3  Slow Down</w:t>
      </w:r>
    </w:p>
    <w:p>
      <w:pPr>
        <w:spacing w:after="60"/>
        <w:ind w:left="360"/>
      </w:pPr>
      <w:r>
        <w:rPr>
          <w:b w:val="false"/>
          <w:bCs w:val="false"/>
          <w:color w:val="16202E"/>
          <w:sz w:val="22"/>
          <w:szCs w:val="22"/>
        </w:rPr>
        <w:t xml:space="preserve">5.4  Suspend</w:t>
      </w:r>
    </w:p>
    <w:p>
      <w:pPr>
        <w:spacing w:after="60"/>
        <w:ind w:left="360"/>
      </w:pPr>
      <w:r>
        <w:rPr>
          <w:b w:val="false"/>
          <w:bCs w:val="false"/>
          <w:color w:val="16202E"/>
          <w:sz w:val="22"/>
          <w:szCs w:val="22"/>
        </w:rPr>
        <w:t xml:space="preserve">5.5  Resume</w:t>
      </w:r>
    </w:p>
    <w:p>
      <w:pPr>
        <w:spacing w:after="60"/>
        <w:ind w:left="360"/>
      </w:pPr>
      <w:r>
        <w:rPr>
          <w:b w:val="false"/>
          <w:bCs w:val="false"/>
          <w:color w:val="16202E"/>
          <w:sz w:val="22"/>
          <w:szCs w:val="22"/>
        </w:rPr>
        <w:t xml:space="preserve">5.6  Abandon</w:t>
      </w:r>
    </w:p>
    <w:p>
      <w:pPr>
        <w:spacing w:after="60"/>
        <w:ind w:left="360"/>
      </w:pPr>
      <w:r>
        <w:rPr>
          <w:b w:val="false"/>
          <w:bCs w:val="false"/>
          <w:color w:val="16202E"/>
          <w:sz w:val="22"/>
          <w:szCs w:val="22"/>
        </w:rPr>
        <w:t xml:space="preserve">5.7  Action Reference Table</w:t>
      </w:r>
    </w:p>
    <w:p>
      <w:pPr>
        <w:spacing w:after="100"/>
      </w:pPr>
      <w:r>
        <w:rPr>
          <w:b/>
          <w:bCs/>
          <w:color w:val="4F46E5"/>
          <w:sz w:val="24"/>
          <w:szCs w:val="24"/>
        </w:rPr>
        <w:t xml:space="preserve">6.   Right Analytics Panel</w:t>
      </w:r>
    </w:p>
    <w:p>
      <w:pPr>
        <w:spacing w:after="60"/>
        <w:ind w:left="360"/>
      </w:pPr>
      <w:r>
        <w:rPr>
          <w:b w:val="false"/>
          <w:bCs w:val="false"/>
          <w:color w:val="16202E"/>
          <w:sz w:val="22"/>
          <w:szCs w:val="22"/>
        </w:rPr>
        <w:t xml:space="preserve">6.1  Cash Flow Tab</w:t>
      </w:r>
    </w:p>
    <w:p>
      <w:pPr>
        <w:spacing w:after="60"/>
        <w:ind w:left="360"/>
      </w:pPr>
      <w:r>
        <w:rPr>
          <w:b w:val="false"/>
          <w:bCs w:val="false"/>
          <w:color w:val="16202E"/>
          <w:sz w:val="22"/>
          <w:szCs w:val="22"/>
        </w:rPr>
        <w:t xml:space="preserve">6.2  Gantt Tab</w:t>
      </w:r>
    </w:p>
    <w:p>
      <w:pPr>
        <w:spacing w:after="60"/>
        <w:ind w:left="360"/>
      </w:pPr>
      <w:r>
        <w:rPr>
          <w:b w:val="false"/>
          <w:bCs w:val="false"/>
          <w:color w:val="16202E"/>
          <w:sz w:val="22"/>
          <w:szCs w:val="22"/>
        </w:rPr>
        <w:t xml:space="preserve">6.3  S-Curve Tab</w:t>
      </w:r>
    </w:p>
    <w:p>
      <w:pPr>
        <w:spacing w:after="60"/>
        <w:ind w:left="360"/>
      </w:pPr>
      <w:r>
        <w:rPr>
          <w:b w:val="false"/>
          <w:bCs w:val="false"/>
          <w:color w:val="16202E"/>
          <w:sz w:val="22"/>
          <w:szCs w:val="22"/>
        </w:rPr>
        <w:t xml:space="preserve">6.4  KPI Tab</w:t>
      </w:r>
    </w:p>
    <w:p>
      <w:pPr>
        <w:spacing w:after="60"/>
        <w:ind w:left="360"/>
      </w:pPr>
      <w:r>
        <w:rPr>
          <w:b w:val="false"/>
          <w:bCs w:val="false"/>
          <w:color w:val="16202E"/>
          <w:sz w:val="22"/>
          <w:szCs w:val="22"/>
        </w:rPr>
        <w:t xml:space="preserve">6.5  Decisions Tab</w:t>
      </w:r>
    </w:p>
    <w:p>
      <w:pPr>
        <w:spacing w:after="60"/>
        <w:ind w:left="360"/>
      </w:pPr>
      <w:r>
        <w:rPr>
          <w:b w:val="false"/>
          <w:bCs w:val="false"/>
          <w:color w:val="16202E"/>
          <w:sz w:val="22"/>
          <w:szCs w:val="22"/>
        </w:rPr>
        <w:t xml:space="preserve">6.6  Dashboard KPI Strip</w:t>
      </w:r>
    </w:p>
    <w:p>
      <w:pPr>
        <w:spacing w:after="100"/>
      </w:pPr>
      <w:r>
        <w:rPr>
          <w:b/>
          <w:bCs/>
          <w:color w:val="4F46E5"/>
          <w:sz w:val="24"/>
          <w:szCs w:val="24"/>
        </w:rPr>
        <w:t xml:space="preserve">7.   Funding and Shortfall Resolution</w:t>
      </w:r>
    </w:p>
    <w:p>
      <w:pPr>
        <w:spacing w:after="100"/>
      </w:pPr>
      <w:r>
        <w:rPr>
          <w:b/>
          <w:bCs/>
          <w:color w:val="4F46E5"/>
          <w:sz w:val="24"/>
          <w:szCs w:val="24"/>
        </w:rPr>
        <w:t xml:space="preserve">8.   Risk Events</w:t>
      </w:r>
    </w:p>
    <w:p>
      <w:pPr>
        <w:spacing w:after="100"/>
      </w:pPr>
      <w:r>
        <w:rPr>
          <w:b/>
          <w:bCs/>
          <w:color w:val="4F46E5"/>
          <w:sz w:val="24"/>
          <w:szCs w:val="24"/>
        </w:rPr>
        <w:t xml:space="preserve">9.   Scoring System</w:t>
      </w:r>
    </w:p>
    <w:p>
      <w:pPr>
        <w:spacing w:after="100"/>
      </w:pPr>
      <w:r>
        <w:rPr>
          <w:b/>
          <w:bCs/>
          <w:color w:val="4F46E5"/>
          <w:sz w:val="24"/>
          <w:szCs w:val="24"/>
        </w:rPr>
        <w:t xml:space="preserve">10.  Debrief Screen</w:t>
      </w:r>
    </w:p>
    <w:p>
      <w:pPr>
        <w:spacing w:after="100"/>
      </w:pPr>
      <w:r>
        <w:rPr>
          <w:b/>
          <w:bCs/>
          <w:color w:val="4F46E5"/>
          <w:sz w:val="24"/>
          <w:szCs w:val="24"/>
        </w:rPr>
        <w:t xml:space="preserve">11.  Leaderboard</w:t>
      </w:r>
    </w:p>
    <w:p>
      <w:pPr>
        <w:spacing w:after="100"/>
      </w:pPr>
      <w:r>
        <w:rPr>
          <w:b/>
          <w:bCs/>
          <w:color w:val="4F46E5"/>
          <w:sz w:val="24"/>
          <w:szCs w:val="24"/>
        </w:rPr>
        <w:t xml:space="preserve">12.  Built-In Rules Reference</w:t>
      </w:r>
    </w:p>
    <w:p>
      <w:pPr>
        <w:spacing w:after="100"/>
      </w:pPr>
      <w:r>
        <w:rPr>
          <w:b/>
          <w:bCs/>
          <w:color w:val="4F46E5"/>
          <w:sz w:val="24"/>
          <w:szCs w:val="24"/>
        </w:rPr>
        <w:t xml:space="preserve">13.  Tips and Strategy</w:t>
      </w:r>
    </w:p>
    <w:p>
      <w:pPr>
        <w:spacing w:after="100"/>
      </w:pPr>
      <w:r>
        <w:rPr>
          <w:b/>
          <w:bCs/>
          <w:color w:val="4F46E5"/>
          <w:sz w:val="24"/>
          <w:szCs w:val="24"/>
        </w:rPr>
        <w:t xml:space="preserve">14.  Glossary</w:t>
      </w:r>
    </w:p>
    <w:p>
      <w:pPr>
        <w:spacing w:after="100"/>
      </w:pPr>
      <w:r>
        <w:rPr>
          <w:b/>
          <w:bCs/>
          <w:color w:val="4F46E5"/>
          <w:sz w:val="24"/>
          <w:szCs w:val="24"/>
        </w:rPr>
        <w:t xml:space="preserve">15.  Quick Reference Card</w:t>
      </w:r>
    </w:p>
    <w:p>
      <w:pPr>
        <w:spacing w:after="20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1. Introduction</w:t>
      </w:r>
    </w:p>
    <w:p>
      <w:pPr>
        <w:spacing w:after="120"/>
      </w:pPr>
      <w:r>
        <w:rPr>
          <w:color w:val="16202E"/>
        </w:rPr>
        <w:t xml:space="preserve">Portfolio Simulator is a browser-based decision-making tool that puts you in the role of a government Portfolio Manager responsible for selecting, funding, and delivering strategic projects over a 60-month horizon. The simulation compresses the full lifecycle of a capital project portfolio into a fast-paced interactive experience, exposing you to the real tensions between strategic ambition, budget discipline, and delivery risk.</w:t>
      </w:r>
    </w:p>
    <w:p>
      <w:pPr>
        <w:pStyle w:val="Heading2"/>
        <w:spacing w:after="120" w:before="320"/>
      </w:pPr>
      <w:r>
        <w:rPr>
          <w:rFonts w:ascii="Arial" w:cs="Arial" w:eastAsia="Arial" w:hAnsi="Arial"/>
          <w:b/>
          <w:bCs/>
          <w:color w:val="16202E"/>
          <w:sz w:val="28"/>
          <w:szCs w:val="28"/>
        </w:rPr>
        <w:t xml:space="preserve">1.1 What You Will Learn</w:t>
      </w:r>
    </w:p>
    <w:p>
      <w:pPr>
        <w:pStyle w:val="ListParagraph"/>
        <w:numPr>
          <w:ilvl w:val="0"/>
          <w:numId w:val="2"/>
        </w:numPr>
        <w:spacing w:after="60"/>
      </w:pPr>
      <w:r>
        <w:rPr>
          <w:color w:val="16202E"/>
        </w:rPr>
        <w:t xml:space="preserve">How inflation erodes the purchasing power of delayed project starts</w:t>
      </w:r>
    </w:p>
    <w:p>
      <w:pPr>
        <w:pStyle w:val="ListParagraph"/>
        <w:numPr>
          <w:ilvl w:val="0"/>
          <w:numId w:val="2"/>
        </w:numPr>
        <w:spacing w:after="60"/>
      </w:pPr>
      <w:r>
        <w:rPr>
          <w:color w:val="16202E"/>
        </w:rPr>
        <w:t xml:space="preserve">How to balance concurrent demand against a quarterly-release funding model</w:t>
      </w:r>
    </w:p>
    <w:p>
      <w:pPr>
        <w:pStyle w:val="ListParagraph"/>
        <w:numPr>
          <w:ilvl w:val="0"/>
          <w:numId w:val="2"/>
        </w:numPr>
        <w:spacing w:after="60"/>
      </w:pPr>
      <w:r>
        <w:rPr>
          <w:color w:val="16202E"/>
        </w:rPr>
        <w:t xml:space="preserve">When to slow, suspend, or abandon a project — and what each costs</w:t>
      </w:r>
    </w:p>
    <w:p>
      <w:pPr>
        <w:pStyle w:val="ListParagraph"/>
        <w:numPr>
          <w:ilvl w:val="0"/>
          <w:numId w:val="2"/>
        </w:numPr>
        <w:spacing w:after="60"/>
      </w:pPr>
      <w:r>
        <w:rPr>
          <w:color w:val="16202E"/>
        </w:rPr>
        <w:t xml:space="preserve">How milestone risk events cascade through cash flow projections</w:t>
      </w:r>
    </w:p>
    <w:p>
      <w:pPr>
        <w:pStyle w:val="ListParagraph"/>
        <w:numPr>
          <w:ilvl w:val="0"/>
          <w:numId w:val="2"/>
        </w:numPr>
        <w:spacing w:after="60"/>
      </w:pPr>
      <w:r>
        <w:rPr>
          <w:color w:val="16202E"/>
        </w:rPr>
        <w:t xml:space="preserve">How to optimise a composite score covering delivery, alignment, and efficiency</w:t>
      </w:r>
    </w:p>
    <w:p>
      <w:pPr>
        <w:spacing w:after="160"/>
      </w:pPr>
    </w:p>
    <w:p>
      <w:pPr>
        <w:pStyle w:val="Heading2"/>
        <w:spacing w:after="120" w:before="320"/>
      </w:pPr>
      <w:r>
        <w:rPr>
          <w:rFonts w:ascii="Arial" w:cs="Arial" w:eastAsia="Arial" w:hAnsi="Arial"/>
          <w:b/>
          <w:bCs/>
          <w:color w:val="16202E"/>
          <w:sz w:val="28"/>
          <w:szCs w:val="28"/>
        </w:rPr>
        <w:t xml:space="preserve">1.2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Requirement</w:t>
            </w:r>
          </w:p>
        </w:tc>
        <w:tc>
          <w:tcPr>
            <w:tcW w:type="dxa" w:w="616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Detail</w:t>
            </w:r>
          </w:p>
        </w:tc>
      </w:tr>
      <w:tr>
        <w:tc>
          <w:tcPr>
            <w:tcW w:type="dxa" w:w="32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Browser</w:t>
            </w:r>
          </w:p>
        </w:tc>
        <w:tc>
          <w:tcPr>
            <w:tcW w:type="dxa" w:w="61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Any modern browser — Chrome, Edge, Firefox, or Safari</w:t>
            </w:r>
          </w:p>
        </w:tc>
      </w:tr>
      <w:tr>
        <w:tc>
          <w:tcPr>
            <w:tcW w:type="dxa" w:w="32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Connection</w:t>
            </w:r>
          </w:p>
        </w:tc>
        <w:tc>
          <w:tcPr>
            <w:tcW w:type="dxa" w:w="61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Runs entirely offline once the page is loaded</w:t>
            </w:r>
          </w:p>
        </w:tc>
      </w:tr>
      <w:tr>
        <w:tc>
          <w:tcPr>
            <w:tcW w:type="dxa" w:w="32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Screen</w:t>
            </w:r>
          </w:p>
        </w:tc>
        <w:tc>
          <w:tcPr>
            <w:tcW w:type="dxa" w:w="61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Minimum 1,280 px wide recommended (dual-panel layout)</w:t>
            </w:r>
          </w:p>
        </w:tc>
      </w:tr>
      <w:tr>
        <w:tc>
          <w:tcPr>
            <w:tcW w:type="dxa" w:w="32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Local storage</w:t>
            </w:r>
          </w:p>
        </w:tc>
        <w:tc>
          <w:tcPr>
            <w:tcW w:type="dxa" w:w="61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Used for leaderboard persistence; approximately 1 KB per run</w:t>
            </w:r>
          </w:p>
        </w:tc>
      </w:tr>
    </w:tbl>
    <w:p>
      <w:pPr>
        <w:spacing w:after="160"/>
      </w:pPr>
    </w:p>
    <w:p>
      <w:pPr>
        <w:pStyle w:val="Heading2"/>
        <w:spacing w:after="120" w:before="320"/>
      </w:pPr>
      <w:r>
        <w:rPr>
          <w:rFonts w:ascii="Arial" w:cs="Arial" w:eastAsia="Arial" w:hAnsi="Arial"/>
          <w:b/>
          <w:bCs/>
          <w:color w:val="16202E"/>
          <w:sz w:val="28"/>
          <w:szCs w:val="28"/>
        </w:rPr>
        <w:t xml:space="preserve">1.3 Starting the Application</w:t>
      </w:r>
    </w:p>
    <w:p>
      <w:pPr>
        <w:spacing w:after="120"/>
      </w:pPr>
      <w:r>
        <w:rPr>
          <w:color w:val="16202E"/>
        </w:rPr>
        <w:t xml:space="preserve">If you have been provided with a running instance, open the URL supplied by your administrator. To run the application locally:</w:t>
      </w:r>
    </w:p>
    <w:p>
      <w:pPr>
        <w:pStyle w:val="ListParagraph"/>
        <w:numPr>
          <w:ilvl w:val="0"/>
          <w:numId w:val="3"/>
        </w:numPr>
        <w:spacing w:after="80"/>
      </w:pPr>
      <w:r>
        <w:rPr>
          <w:color w:val="16202E"/>
        </w:rPr>
        <w:t xml:space="preserve">Open a terminal and navigate to the </w:t>
      </w:r>
      <w:r>
        <w:rPr>
          <w:rFonts w:ascii="Courier New" w:cs="Courier New" w:eastAsia="Courier New" w:hAnsi="Courier New"/>
          <w:color w:val="4F46E5"/>
          <w:sz w:val="20"/>
          <w:szCs w:val="20"/>
        </w:rPr>
        <w:t xml:space="preserve">sim-app</w:t>
      </w:r>
      <w:r>
        <w:rPr>
          <w:color w:val="16202E"/>
        </w:rPr>
        <w:t xml:space="preserve"> folder inside the project.</w:t>
      </w:r>
    </w:p>
    <w:p>
      <w:pPr>
        <w:pStyle w:val="ListParagraph"/>
        <w:numPr>
          <w:ilvl w:val="0"/>
          <w:numId w:val="3"/>
        </w:numPr>
        <w:spacing w:after="80"/>
      </w:pPr>
      <w:r>
        <w:rPr>
          <w:color w:val="16202E"/>
        </w:rPr>
        <w:t xml:space="preserve">Run </w:t>
      </w:r>
      <w:r>
        <w:rPr>
          <w:rFonts w:ascii="Courier New" w:cs="Courier New" w:eastAsia="Courier New" w:hAnsi="Courier New"/>
          <w:color w:val="4F46E5"/>
          <w:sz w:val="20"/>
          <w:szCs w:val="20"/>
        </w:rPr>
        <w:t xml:space="preserve">npm run dev</w:t>
      </w:r>
      <w:r>
        <w:rPr>
          <w:color w:val="16202E"/>
        </w:rPr>
        <w:t xml:space="preserve">.</w:t>
      </w:r>
    </w:p>
    <w:p>
      <w:pPr>
        <w:pStyle w:val="ListParagraph"/>
        <w:numPr>
          <w:ilvl w:val="0"/>
          <w:numId w:val="3"/>
        </w:numPr>
        <w:spacing w:after="80"/>
      </w:pPr>
      <w:r>
        <w:rPr>
          <w:color w:val="16202E"/>
        </w:rPr>
        <w:t xml:space="preserve">Open </w:t>
      </w:r>
      <w:r>
        <w:rPr>
          <w:rFonts w:ascii="Courier New" w:cs="Courier New" w:eastAsia="Courier New" w:hAnsi="Courier New"/>
          <w:color w:val="4F46E5"/>
          <w:sz w:val="20"/>
          <w:szCs w:val="20"/>
        </w:rPr>
        <w:t xml:space="preserve">http://localhost:5173</w:t>
      </w:r>
      <w:r>
        <w:rPr>
          <w:color w:val="16202E"/>
        </w:rPr>
        <w:t xml:space="preserve"> in your browser.</w:t>
      </w:r>
    </w:p>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2. Setup Screen</w:t>
      </w:r>
    </w:p>
    <w:p>
      <w:pPr>
        <w:spacing w:after="120"/>
      </w:pPr>
      <w:r>
        <w:rPr>
          <w:color w:val="16202E"/>
        </w:rPr>
        <w:t xml:space="preserve">The Setup Screen is the first thing you see when the application loads. It lets you name your run, choose a difficulty preset, optionally customise every parameter, and check the leaderboard before committing to a session.</w:t>
      </w:r>
    </w:p>
    <w:p>
      <w:pPr>
        <w:pStyle w:val="Heading2"/>
        <w:spacing w:after="120" w:before="320"/>
      </w:pPr>
      <w:r>
        <w:rPr>
          <w:rFonts w:ascii="Arial" w:cs="Arial" w:eastAsia="Arial" w:hAnsi="Arial"/>
          <w:b/>
          <w:bCs/>
          <w:color w:val="16202E"/>
          <w:sz w:val="28"/>
          <w:szCs w:val="28"/>
        </w:rPr>
        <w:t xml:space="preserve">2.1 Player Name and Run Name</w:t>
      </w:r>
    </w:p>
    <w:p>
      <w:pPr>
        <w:spacing w:after="120"/>
      </w:pPr>
      <w:r>
        <w:rPr>
          <w:color w:val="16202E"/>
        </w:rPr>
        <w:t xml:space="preserve">Enter your name in the Player Name field — this is what appears on the leaderboard. The Run Name field (for example, “Punjab ADP dry-run”) is an optional label that helps you identify results later. Both fields are optional; they default to “Anonymous” and “Untitled run” respectively.</w:t>
      </w:r>
    </w:p>
    <w:p>
      <w:pPr>
        <w:spacing w:after="80"/>
      </w:pPr>
    </w:p>
    <w:p>
      <w:pPr>
        <w:pStyle w:val="Heading2"/>
        <w:spacing w:after="120" w:before="320"/>
      </w:pPr>
      <w:r>
        <w:rPr>
          <w:rFonts w:ascii="Arial" w:cs="Arial" w:eastAsia="Arial" w:hAnsi="Arial"/>
          <w:b/>
          <w:bCs/>
          <w:color w:val="16202E"/>
          <w:sz w:val="28"/>
          <w:szCs w:val="28"/>
        </w:rPr>
        <w:t xml:space="preserve">2.2 Difficulty Presets</w:t>
      </w:r>
    </w:p>
    <w:p>
      <w:pPr>
        <w:spacing w:after="120"/>
      </w:pPr>
      <w:r>
        <w:rPr>
          <w:color w:val="16202E"/>
        </w:rPr>
        <w:t xml:space="preserve">Four preset tiles are shown side by side. Click a tile to select it; the tile highlights and the parameter summary strip at the bottom updates immediately.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Preset</w:t>
            </w:r>
          </w:p>
        </w:tc>
        <w:tc>
          <w:tcPr>
            <w:tcW w:type="dxa" w:w="42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Key Settings</w:t>
            </w:r>
          </w:p>
        </w:tc>
        <w:tc>
          <w:tcPr>
            <w:tcW w:type="dxa" w:w="336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Recommended For</w:t>
            </w:r>
          </w:p>
        </w:tc>
      </w:tr>
      <w:tr>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Learning</w:t>
            </w:r>
          </w:p>
        </w:tc>
        <w:tc>
          <w:tcPr>
            <w:tcW w:type="dxa" w:w="42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2% inflation · flat funding · 0 political projects · calm risk</w:t>
            </w:r>
          </w:p>
        </w:tc>
        <w:tc>
          <w:tcPr>
            <w:tcW w:type="dxa" w:w="33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First-time users</w:t>
            </w:r>
          </w:p>
        </w:tc>
      </w:tr>
      <w:tr>
        <w:tc>
          <w:tcPr>
            <w:tcW w:type="dxa" w:w="1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Standard</w:t>
            </w:r>
          </w:p>
        </w:tc>
        <w:tc>
          <w:tcPr>
            <w:tcW w:type="dxa" w:w="42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3% inflation · S-curve funding · 2 political projects · normal risk</w:t>
            </w:r>
          </w:p>
        </w:tc>
        <w:tc>
          <w:tcPr>
            <w:tcW w:type="dxa" w:w="33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Regular play</w:t>
            </w:r>
          </w:p>
        </w:tc>
      </w:tr>
      <w:tr>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Advanced</w:t>
            </w:r>
          </w:p>
        </w:tc>
        <w:tc>
          <w:tcPr>
            <w:tcW w:type="dxa" w:w="42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5% inflation · volatile funding · 4 political projects · turbulent risk · blind score</w:t>
            </w:r>
          </w:p>
        </w:tc>
        <w:tc>
          <w:tcPr>
            <w:tcW w:type="dxa" w:w="33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Experienced players</w:t>
            </w:r>
          </w:p>
        </w:tc>
      </w:tr>
      <w:tr>
        <w:tc>
          <w:tcPr>
            <w:tcW w:type="dxa" w:w="1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Custom</w:t>
            </w:r>
          </w:p>
        </w:tc>
        <w:tc>
          <w:tcPr>
            <w:tcW w:type="dxa" w:w="42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All parameters configurable manually</w:t>
            </w:r>
          </w:p>
        </w:tc>
        <w:tc>
          <w:tcPr>
            <w:tcW w:type="dxa" w:w="33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Training or specific scenarios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20"/>
              <w:bottom w:val="none" w:color="FFFFFF" w:sz="0"/>
              <w:right w:val="none" w:color="FFFFFF" w:sz="0"/>
            </w:tcBorders>
            <w:shd w:fill="FFFBEB" w:val="clear"/>
            <w:tcMar>
              <w:top w:type="dxa" w:w="100"/>
              <w:left w:type="dxa" w:w="180"/>
              <w:bottom w:type="dxa" w:w="100"/>
              <w:right w:type="dxa" w:w="100"/>
            </w:tcMar>
          </w:tcPr>
          <w:p>
            <w:pPr>
              <w:spacing w:after="0"/>
            </w:pPr>
            <w:r>
              <w:rPr>
                <w:color w:val="16202E"/>
                <w:sz w:val="21"/>
                <w:szCs w:val="21"/>
              </w:rPr>
              <w:t xml:space="preserve">NOTE — Advanced mode hides your running score and alignment values, making it impossible to optimise in real time. This is intentional and mirrors conditions where strategic data is incomplete.</w:t>
            </w:r>
          </w:p>
        </w:tc>
      </w:tr>
    </w:tbl>
    <w:p>
      <w:pPr>
        <w:spacing w:after="160"/>
      </w:pPr>
    </w:p>
    <w:p>
      <w:pPr>
        <w:pStyle w:val="Heading2"/>
        <w:spacing w:after="120" w:before="320"/>
      </w:pPr>
      <w:r>
        <w:rPr>
          <w:rFonts w:ascii="Arial" w:cs="Arial" w:eastAsia="Arial" w:hAnsi="Arial"/>
          <w:b/>
          <w:bCs/>
          <w:color w:val="16202E"/>
          <w:sz w:val="28"/>
          <w:szCs w:val="28"/>
        </w:rPr>
        <w:t xml:space="preserve">2.3 Custom Parameters</w:t>
      </w:r>
    </w:p>
    <w:p>
      <w:pPr>
        <w:spacing w:after="120"/>
      </w:pPr>
      <w:r>
        <w:rPr>
          <w:color w:val="16202E"/>
        </w:rPr>
        <w:t xml:space="preserve">Select the Custom tile (or click “Customise parameters” when any other preset is active) to reveal six controls: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Parameter</w:t>
            </w:r>
          </w:p>
        </w:tc>
        <w:tc>
          <w:tcPr>
            <w:tcW w:type="dxa" w:w="24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Range / Options</w:t>
            </w:r>
          </w:p>
        </w:tc>
        <w:tc>
          <w:tcPr>
            <w:tcW w:type="dxa" w:w="496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Effect</w:t>
            </w:r>
          </w:p>
        </w:tc>
      </w:tr>
      <w:tr>
        <w:tc>
          <w:tcPr>
            <w:tcW w:type="dxa" w:w="2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Inflation rate</w:t>
            </w:r>
          </w:p>
        </w:tc>
        <w:tc>
          <w:tcPr>
            <w:tcW w:type="dxa" w:w="24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0%–20% p.a.</w:t>
            </w:r>
          </w:p>
        </w:tc>
        <w:tc>
          <w:tcPr>
            <w:tcW w:type="dxa" w:w="49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Projects in the Available pool inflate every month at this rate. Higher inflation creates stronger pressure to start projects early.</w:t>
            </w:r>
          </w:p>
        </w:tc>
      </w:tr>
      <w:tr>
        <w:tc>
          <w:tcPr>
            <w:tcW w:type="dxa" w:w="2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Funding profile</w:t>
            </w:r>
          </w:p>
        </w:tc>
        <w:tc>
          <w:tcPr>
            <w:tcW w:type="dxa" w:w="24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Flat · S-curve · Front-loaded · Back-loaded · Volatile</w:t>
            </w:r>
          </w:p>
        </w:tc>
        <w:tc>
          <w:tcPr>
            <w:tcW w:type="dxa" w:w="49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Controls how the total 60-month budget is divided across 20 quarterly tranches.</w:t>
            </w:r>
          </w:p>
        </w:tc>
      </w:tr>
      <w:tr>
        <w:tc>
          <w:tcPr>
            <w:tcW w:type="dxa" w:w="2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Budget tightness</w:t>
            </w:r>
          </w:p>
        </w:tc>
        <w:tc>
          <w:tcPr>
            <w:tcW w:type="dxa" w:w="24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Loose · Snug · Tight · Very tight</w:t>
            </w:r>
          </w:p>
        </w:tc>
        <w:tc>
          <w:tcPr>
            <w:tcW w:type="dxa" w:w="49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Divides the sum of all project budgets by 1.2–2.0. Tighter means fewer projects can be completed.</w:t>
            </w:r>
          </w:p>
        </w:tc>
      </w:tr>
      <w:tr>
        <w:tc>
          <w:tcPr>
            <w:tcW w:type="dxa" w:w="2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Political projects</w:t>
            </w:r>
          </w:p>
        </w:tc>
        <w:tc>
          <w:tcPr>
            <w:tcW w:type="dxa" w:w="24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0–5</w:t>
            </w:r>
          </w:p>
        </w:tc>
        <w:tc>
          <w:tcPr>
            <w:tcW w:type="dxa" w:w="49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Projects placed in the Active pool at Month 1 that cannot be abandoned before Month 24.</w:t>
            </w:r>
          </w:p>
        </w:tc>
      </w:tr>
      <w:tr>
        <w:tc>
          <w:tcPr>
            <w:tcW w:type="dxa" w:w="2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Concurrent cap</w:t>
            </w:r>
          </w:p>
        </w:tc>
        <w:tc>
          <w:tcPr>
            <w:tcW w:type="dxa" w:w="24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None · 5 · 8 · 10</w:t>
            </w:r>
          </w:p>
        </w:tc>
        <w:tc>
          <w:tcPr>
            <w:tcW w:type="dxa" w:w="49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Maximum number of simultaneous active projects.</w:t>
            </w:r>
          </w:p>
        </w:tc>
      </w:tr>
      <w:tr>
        <w:tc>
          <w:tcPr>
            <w:tcW w:type="dxa" w:w="2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Approval lag</w:t>
            </w:r>
          </w:p>
        </w:tc>
        <w:tc>
          <w:tcPr>
            <w:tcW w:type="dxa" w:w="24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None · 1 · 2 · 3 months</w:t>
            </w:r>
          </w:p>
        </w:tc>
        <w:tc>
          <w:tcPr>
            <w:tcW w:type="dxa" w:w="49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Delay between clicking Add and the project entering Active state.</w:t>
            </w:r>
          </w:p>
        </w:tc>
      </w:tr>
      <w:tr>
        <w:tc>
          <w:tcPr>
            <w:tcW w:type="dxa" w:w="2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Risk environment</w:t>
            </w:r>
          </w:p>
        </w:tc>
        <w:tc>
          <w:tcPr>
            <w:tcW w:type="dxa" w:w="24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Calm · Normal · Turbulent · Extreme</w:t>
            </w:r>
          </w:p>
        </w:tc>
        <w:tc>
          <w:tcPr>
            <w:tcW w:type="dxa" w:w="49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Multiplies each project’s cost and duration risk factors by 0.5–2.0.</w:t>
            </w:r>
          </w:p>
        </w:tc>
      </w:tr>
      <w:tr>
        <w:tc>
          <w:tcPr>
            <w:tcW w:type="dxa" w:w="2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Scoring visibility</w:t>
            </w:r>
          </w:p>
        </w:tc>
        <w:tc>
          <w:tcPr>
            <w:tcW w:type="dxa" w:w="24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Full info · Blind alignment · Blind score · Fully blind</w:t>
            </w:r>
          </w:p>
        </w:tc>
        <w:tc>
          <w:tcPr>
            <w:tcW w:type="dxa" w:w="49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Hides alignment scores, running score, or both.</w:t>
            </w:r>
          </w:p>
        </w:tc>
      </w:tr>
    </w:tbl>
    <w:p>
      <w:pPr>
        <w:spacing w:after="80"/>
      </w:pPr>
    </w:p>
    <w:p>
      <w:pPr>
        <w:pStyle w:val="Heading2"/>
        <w:spacing w:after="120" w:before="320"/>
      </w:pPr>
      <w:r>
        <w:rPr>
          <w:rFonts w:ascii="Arial" w:cs="Arial" w:eastAsia="Arial" w:hAnsi="Arial"/>
          <w:b/>
          <w:bCs/>
          <w:color w:val="16202E"/>
          <w:sz w:val="28"/>
          <w:szCs w:val="28"/>
        </w:rPr>
        <w:t xml:space="preserve">2.4 Setup Screen Buttons</w:t>
      </w:r>
    </w:p>
    <w:p>
      <w:pPr>
        <w:pStyle w:val="ListParagraph"/>
        <w:numPr>
          <w:ilvl w:val="0"/>
          <w:numId w:val="2"/>
        </w:numPr>
        <w:spacing w:after="60"/>
      </w:pPr>
      <w:r>
        <w:rPr>
          <w:b/>
          <w:bCs/>
          <w:color w:val="16202E"/>
        </w:rPr>
        <w:t xml:space="preserve">Start new run</w:t>
      </w:r>
      <w:r>
        <w:rPr>
          <w:color w:val="16202E"/>
        </w:rPr>
        <w:t xml:space="preserve"> — Launches the simulation. A new random project pool is generated each time.</w:t>
      </w:r>
    </w:p>
    <w:p>
      <w:pPr>
        <w:pStyle w:val="ListParagraph"/>
        <w:numPr>
          <w:ilvl w:val="0"/>
          <w:numId w:val="2"/>
        </w:numPr>
        <w:spacing w:after="60"/>
      </w:pPr>
      <w:r>
        <w:rPr>
          <w:b/>
          <w:bCs/>
          <w:color w:val="16202E"/>
        </w:rPr>
        <w:t xml:space="preserve">Leaderboard</w:t>
      </w:r>
      <w:r>
        <w:rPr>
          <w:color w:val="16202E"/>
        </w:rPr>
        <w:t xml:space="preserve"> — Opens the leaderboard. The button shows the total saved-run count and the all-time best score below it.</w:t>
      </w:r>
    </w:p>
    <w:p>
      <w:pPr>
        <w:pStyle w:val="ListParagraph"/>
        <w:numPr>
          <w:ilvl w:val="0"/>
          <w:numId w:val="2"/>
        </w:numPr>
        <w:spacing w:after="60"/>
      </w:pPr>
      <w:r>
        <w:rPr>
          <w:b/>
          <w:bCs/>
          <w:color w:val="16202E"/>
        </w:rPr>
        <w:t xml:space="preserve">How to play</w:t>
      </w:r>
      <w:r>
        <w:rPr>
          <w:color w:val="16202E"/>
        </w:rPr>
        <w:t xml:space="preserve"> — Opens the built-in rules reference modal (see Section 12).</w:t>
      </w:r>
    </w:p>
    <w:p>
      <w:pPr>
        <w:pStyle w:val="ListParagraph"/>
        <w:numPr>
          <w:ilvl w:val="0"/>
          <w:numId w:val="2"/>
        </w:numPr>
        <w:spacing w:after="60"/>
      </w:pPr>
      <w:r>
        <w:rPr>
          <w:b/>
          <w:bCs/>
          <w:color w:val="16202E"/>
        </w:rPr>
        <w:t xml:space="preserve">Resume</w:t>
      </w:r>
      <w:r>
        <w:rPr>
          <w:color w:val="16202E"/>
        </w:rPr>
        <w:t xml:space="preserve"> — Appears only if a saved session exists. Restores the last auto-saved state.</w:t>
      </w:r>
    </w:p>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3. The Simulation Interface</w:t>
      </w:r>
    </w:p>
    <w:p>
      <w:pPr>
        <w:spacing w:after="120"/>
      </w:pPr>
      <w:r>
        <w:rPr>
          <w:color w:val="16202E"/>
        </w:rPr>
        <w:t xml:space="preserve">Once a run starts, the screen is divided into three zones: the Header at the top, the Left Decision Panel, and the Right Analytics Panel.</w:t>
      </w:r>
    </w:p>
    <w:p>
      <w:pPr>
        <w:pStyle w:val="Heading2"/>
        <w:spacing w:after="120" w:before="320"/>
      </w:pPr>
      <w:r>
        <w:rPr>
          <w:rFonts w:ascii="Arial" w:cs="Arial" w:eastAsia="Arial" w:hAnsi="Arial"/>
          <w:b/>
          <w:bCs/>
          <w:color w:val="16202E"/>
          <w:sz w:val="28"/>
          <w:szCs w:val="28"/>
        </w:rPr>
        <w:t xml:space="preserve">3.1 The Header</w:t>
      </w:r>
    </w:p>
    <w:p>
      <w:pPr>
        <w:spacing w:after="120"/>
      </w:pPr>
      <w:r>
        <w:rPr>
          <w:color w:val="16202E"/>
        </w:rPr>
        <w:t xml:space="preserve">The header runs across the full width and contains all global controls.</w:t>
      </w:r>
    </w:p>
    <w:p>
      <w:pPr>
        <w:pStyle w:val="Heading3"/>
        <w:spacing w:after="80" w:before="220"/>
      </w:pPr>
      <w:r>
        <w:rPr>
          <w:rFonts w:ascii="Arial" w:cs="Arial" w:eastAsia="Arial" w:hAnsi="Arial"/>
          <w:b/>
          <w:bCs/>
          <w:color w:val="566379"/>
          <w:sz w:val="24"/>
          <w:szCs w:val="24"/>
        </w:rPr>
        <w:t xml:space="preserve">3.1.1 Quarter Timeline</w:t>
      </w:r>
    </w:p>
    <w:p>
      <w:pPr>
        <w:spacing w:after="120"/>
      </w:pPr>
      <w:r>
        <w:rPr>
          <w:color w:val="16202E"/>
        </w:rPr>
        <w:t xml:space="preserve">A row of 20 equal segments, each representing one quarter (3 months). Past quarters are filled in the accent colour. The current quarter has a dot marker. Quarters 17–20 (Months 49–60) are tinted red as a “danger zone” warning that any project started here will struggle to complete before Month 60. A green tick marks the next quarterly funding release.</w:t>
      </w:r>
    </w:p>
    <w:p>
      <w:pPr>
        <w:pStyle w:val="Heading3"/>
        <w:spacing w:after="80" w:before="220"/>
      </w:pPr>
      <w:r>
        <w:rPr>
          <w:rFonts w:ascii="Arial" w:cs="Arial" w:eastAsia="Arial" w:hAnsi="Arial"/>
          <w:b/>
          <w:bCs/>
          <w:color w:val="566379"/>
          <w:sz w:val="24"/>
          <w:szCs w:val="24"/>
        </w:rPr>
        <w:t xml:space="preserve">3.1.2 Available Balance</w:t>
      </w:r>
    </w:p>
    <w:p>
      <w:pPr>
        <w:spacing w:after="120"/>
      </w:pPr>
      <w:r>
        <w:rPr>
          <w:color w:val="16202E"/>
        </w:rPr>
        <w:t xml:space="preserve">Displays the current cash balance as </w:t>
      </w:r>
      <w:r>
        <w:rPr>
          <w:rFonts w:ascii="Courier New" w:cs="Courier New" w:eastAsia="Courier New" w:hAnsi="Courier New"/>
          <w:color w:val="4F46E5"/>
          <w:sz w:val="20"/>
          <w:szCs w:val="20"/>
        </w:rPr>
        <w:t xml:space="preserve">$X.XXM</w:t>
      </w:r>
      <w:r>
        <w:rPr>
          <w:color w:val="16202E"/>
        </w:rPr>
        <w:t xml:space="preserve">. This is the money you have right now to cover this month’s demand from all active projects.</w:t>
      </w:r>
    </w:p>
    <w:p>
      <w:pPr>
        <w:pStyle w:val="Heading3"/>
        <w:spacing w:after="80" w:before="220"/>
      </w:pPr>
      <w:r>
        <w:rPr>
          <w:rFonts w:ascii="Arial" w:cs="Arial" w:eastAsia="Arial" w:hAnsi="Arial"/>
          <w:b/>
          <w:bCs/>
          <w:color w:val="566379"/>
          <w:sz w:val="24"/>
          <w:szCs w:val="24"/>
        </w:rPr>
        <w:t xml:space="preserve">3.1.3 Advance Button</w:t>
      </w:r>
    </w:p>
    <w:p>
      <w:pPr>
        <w:spacing w:after="120"/>
      </w:pPr>
      <w:r>
        <w:rPr>
          <w:color w:val="16202E"/>
        </w:rPr>
        <w:t xml:space="preserve">The primary action button that moves the simulation forward by one month. The button colour signals financial stress:</w:t>
      </w:r>
    </w:p>
    <w:p>
      <w:pPr>
        <w:pStyle w:val="ListParagraph"/>
        <w:numPr>
          <w:ilvl w:val="0"/>
          <w:numId w:val="2"/>
        </w:numPr>
        <w:spacing w:after="60"/>
      </w:pPr>
      <w:r>
        <w:rPr>
          <w:b/>
          <w:bCs/>
          <w:color w:val="2563EB"/>
        </w:rPr>
        <w:t xml:space="preserve">Blue</w:t>
      </w:r>
      <w:r>
        <w:rPr>
          <w:color w:val="16202E"/>
        </w:rPr>
        <w:t xml:space="preserve"> — demand is comfortable (less than 80% of available balance)</w:t>
      </w:r>
    </w:p>
    <w:p>
      <w:pPr>
        <w:pStyle w:val="ListParagraph"/>
        <w:numPr>
          <w:ilvl w:val="0"/>
          <w:numId w:val="2"/>
        </w:numPr>
        <w:spacing w:after="60"/>
      </w:pPr>
      <w:r>
        <w:rPr>
          <w:b/>
          <w:bCs/>
          <w:color w:val="D97706"/>
        </w:rPr>
        <w:t xml:space="preserve">Amber</w:t>
      </w:r>
      <w:r>
        <w:rPr>
          <w:color w:val="16202E"/>
        </w:rPr>
        <w:t xml:space="preserve"> — demand is tight (80–100% of available balance)</w:t>
      </w:r>
    </w:p>
    <w:p>
      <w:pPr>
        <w:pStyle w:val="ListParagraph"/>
        <w:numPr>
          <w:ilvl w:val="0"/>
          <w:numId w:val="2"/>
        </w:numPr>
        <w:spacing w:after="60"/>
      </w:pPr>
      <w:r>
        <w:rPr>
          <w:b/>
          <w:bCs/>
          <w:color w:val="E11D48"/>
        </w:rPr>
        <w:t xml:space="preserve">Red</w:t>
      </w:r>
      <w:r>
        <w:rPr>
          <w:color w:val="16202E"/>
        </w:rPr>
        <w:t xml:space="preserve"> — demand exceeds available balance — a shortfall will occur</w:t>
      </w:r>
    </w:p>
    <w:p>
      <w:pPr>
        <w:spacing w:after="120"/>
      </w:pPr>
      <w:r>
        <w:rPr>
          <w:color w:val="16202E"/>
        </w:rPr>
        <w:t xml:space="preserve">Hovering over the Advance button shows a demand preview pop-up with this month’s demand, available balance, and net surplus or deficit.</w:t>
      </w:r>
    </w:p>
    <w:p>
      <w:pPr>
        <w:pStyle w:val="Heading3"/>
        <w:spacing w:after="80" w:before="220"/>
      </w:pPr>
      <w:r>
        <w:rPr>
          <w:rFonts w:ascii="Arial" w:cs="Arial" w:eastAsia="Arial" w:hAnsi="Arial"/>
          <w:b/>
          <w:bCs/>
          <w:color w:val="566379"/>
          <w:sz w:val="24"/>
          <w:szCs w:val="24"/>
        </w:rPr>
        <w:t xml:space="preserve">3.1.4 Header Controls</w:t>
      </w:r>
    </w:p>
    <w:p>
      <w:pPr>
        <w:pStyle w:val="ListParagraph"/>
        <w:numPr>
          <w:ilvl w:val="0"/>
          <w:numId w:val="2"/>
        </w:numPr>
        <w:spacing w:after="60"/>
      </w:pPr>
      <w:r>
        <w:rPr>
          <w:b/>
          <w:bCs/>
          <w:color w:val="16202E"/>
        </w:rPr>
        <w:t xml:space="preserve">Hint</w:t>
      </w:r>
      <w:r>
        <w:rPr>
          <w:color w:val="16202E"/>
        </w:rPr>
        <w:t xml:space="preserve"> — Generates an AI-assisted recommendation for the current portfolio state.</w:t>
      </w:r>
    </w:p>
    <w:p>
      <w:pPr>
        <w:pStyle w:val="ListParagraph"/>
        <w:numPr>
          <w:ilvl w:val="0"/>
          <w:numId w:val="2"/>
        </w:numPr>
        <w:spacing w:after="60"/>
      </w:pPr>
      <w:r>
        <w:rPr>
          <w:b/>
          <w:bCs/>
          <w:color w:val="16202E"/>
        </w:rPr>
        <w:t xml:space="preserve">Theme</w:t>
      </w:r>
      <w:r>
        <w:rPr>
          <w:color w:val="16202E"/>
        </w:rPr>
        <w:t xml:space="preserve"> — Toggles between light and dark display modes.</w:t>
      </w:r>
    </w:p>
    <w:p>
      <w:pPr>
        <w:pStyle w:val="ListParagraph"/>
        <w:numPr>
          <w:ilvl w:val="0"/>
          <w:numId w:val="2"/>
        </w:numPr>
        <w:spacing w:after="60"/>
      </w:pPr>
      <w:r>
        <w:rPr>
          <w:b/>
          <w:bCs/>
          <w:color w:val="16202E"/>
        </w:rPr>
        <w:t xml:space="preserve">Save</w:t>
      </w:r>
      <w:r>
        <w:rPr>
          <w:color w:val="16202E"/>
        </w:rPr>
        <w:t xml:space="preserve"> — Manually saves the session. The session is also auto-saved every time you advance a month.</w:t>
      </w:r>
    </w:p>
    <w:p>
      <w:pPr>
        <w:pStyle w:val="ListParagraph"/>
        <w:numPr>
          <w:ilvl w:val="0"/>
          <w:numId w:val="2"/>
        </w:numPr>
        <w:spacing w:after="60"/>
      </w:pPr>
      <w:r>
        <w:rPr>
          <w:b/>
          <w:bCs/>
          <w:color w:val="16202E"/>
        </w:rPr>
        <w:t xml:space="preserve">... Overflow menu</w:t>
      </w:r>
      <w:r>
        <w:rPr>
          <w:color w:val="16202E"/>
        </w:rPr>
        <w:t xml:space="preserve"> — Contains the Portfolio Report option, which builds a PMO-style narrative of the current portfolio state.</w:t>
      </w:r>
    </w:p>
    <w:p>
      <w:pPr>
        <w:spacing w:after="160"/>
      </w:pPr>
    </w:p>
    <w:p>
      <w:pPr>
        <w:pStyle w:val="Heading2"/>
        <w:spacing w:after="120" w:before="320"/>
      </w:pPr>
      <w:r>
        <w:rPr>
          <w:rFonts w:ascii="Arial" w:cs="Arial" w:eastAsia="Arial" w:hAnsi="Arial"/>
          <w:b/>
          <w:bCs/>
          <w:color w:val="16202E"/>
          <w:sz w:val="28"/>
          <w:szCs w:val="28"/>
        </w:rPr>
        <w:t xml:space="preserve">3.2 The Left Decision Panel</w:t>
      </w:r>
    </w:p>
    <w:p>
      <w:pPr>
        <w:spacing w:after="120"/>
      </w:pPr>
      <w:r>
        <w:rPr>
          <w:color w:val="16202E"/>
        </w:rPr>
        <w:t xml:space="preserve">The left panel is where you take actions. It is divided into four sections from top to bottom.</w:t>
      </w:r>
    </w:p>
    <w:p>
      <w:pPr>
        <w:pStyle w:val="Heading3"/>
        <w:spacing w:after="80" w:before="220"/>
      </w:pPr>
      <w:r>
        <w:rPr>
          <w:rFonts w:ascii="Arial" w:cs="Arial" w:eastAsia="Arial" w:hAnsi="Arial"/>
          <w:b/>
          <w:bCs/>
          <w:color w:val="566379"/>
          <w:sz w:val="24"/>
          <w:szCs w:val="24"/>
        </w:rPr>
        <w:t xml:space="preserve">3.2.1 Quick-Add Strip</w:t>
      </w:r>
    </w:p>
    <w:p>
      <w:pPr>
        <w:spacing w:after="120"/>
      </w:pPr>
      <w:r>
        <w:rPr>
          <w:color w:val="16202E"/>
        </w:rPr>
        <w:t xml:space="preserve">Appears above the alerts section and shows the top three affordable, completable, high-alignment projects from the Available pool. Each entry shows the project ID, budget, alignment badge, and two buttons:</w:t>
      </w:r>
    </w:p>
    <w:p>
      <w:pPr>
        <w:pStyle w:val="ListParagraph"/>
        <w:numPr>
          <w:ilvl w:val="0"/>
          <w:numId w:val="2"/>
        </w:numPr>
        <w:spacing w:after="60"/>
      </w:pPr>
      <w:r>
        <w:rPr>
          <w:b/>
          <w:bCs/>
          <w:color w:val="16202E"/>
        </w:rPr>
        <w:t xml:space="preserve">Eye icon</w:t>
      </w:r>
      <w:r>
        <w:rPr>
          <w:color w:val="16202E"/>
        </w:rPr>
        <w:t xml:space="preserve"> — Opens the Project Preview modal (see Section 4)</w:t>
      </w:r>
    </w:p>
    <w:p>
      <w:pPr>
        <w:pStyle w:val="ListParagraph"/>
        <w:numPr>
          <w:ilvl w:val="0"/>
          <w:numId w:val="2"/>
        </w:numPr>
        <w:spacing w:after="60"/>
      </w:pPr>
      <w:r>
        <w:rPr>
          <w:b/>
          <w:bCs/>
          <w:color w:val="16202E"/>
        </w:rPr>
        <w:t xml:space="preserve">Plus icon</w:t>
      </w:r>
      <w:r>
        <w:rPr>
          <w:color w:val="16202E"/>
        </w:rPr>
        <w:t xml:space="preserve"> — Adds the project to the portfolio immediately</w:t>
      </w:r>
    </w:p>
    <w:p>
      <w:pPr>
        <w:spacing w:after="120"/>
      </w:pPr>
      <w:r>
        <w:rPr>
          <w:color w:val="16202E"/>
        </w:rPr>
        <w:t xml:space="preserve">This strip is a shortcut — the full Available pool section below it shows all 30 projects.</w:t>
      </w:r>
    </w:p>
    <w:p>
      <w:pPr>
        <w:pStyle w:val="Heading3"/>
        <w:spacing w:after="80" w:before="220"/>
      </w:pPr>
      <w:r>
        <w:rPr>
          <w:rFonts w:ascii="Arial" w:cs="Arial" w:eastAsia="Arial" w:hAnsi="Arial"/>
          <w:b/>
          <w:bCs/>
          <w:color w:val="566379"/>
          <w:sz w:val="24"/>
          <w:szCs w:val="24"/>
        </w:rPr>
        <w:t xml:space="preserve">3.2.2 Risk Alerts</w:t>
      </w:r>
    </w:p>
    <w:p>
      <w:pPr>
        <w:spacing w:after="120"/>
      </w:pPr>
      <w:r>
        <w:rPr>
          <w:color w:val="16202E"/>
        </w:rPr>
        <w:t xml:space="preserve">When a milestone risk event fires (see Section 8), a dismissible alert card appears here in red. The card names the affected project and describes the cost or duration shock. The Cash Flow tab on the right panel updates immediately — always review it after an alert.</w:t>
      </w:r>
    </w:p>
    <w:p>
      <w:pPr>
        <w:pStyle w:val="Heading3"/>
        <w:spacing w:after="80" w:before="220"/>
      </w:pPr>
      <w:r>
        <w:rPr>
          <w:rFonts w:ascii="Arial" w:cs="Arial" w:eastAsia="Arial" w:hAnsi="Arial"/>
          <w:b/>
          <w:bCs/>
          <w:color w:val="566379"/>
          <w:sz w:val="24"/>
          <w:szCs w:val="24"/>
        </w:rPr>
        <w:t xml:space="preserve">3.2.3 Active Projects</w:t>
      </w:r>
    </w:p>
    <w:p>
      <w:pPr>
        <w:spacing w:after="120"/>
      </w:pPr>
      <w:r>
        <w:rPr>
          <w:color w:val="16202E"/>
        </w:rPr>
        <w:t xml:space="preserve">Each active project appears as a card showing:</w:t>
      </w:r>
    </w:p>
    <w:p>
      <w:pPr>
        <w:pStyle w:val="ListParagraph"/>
        <w:numPr>
          <w:ilvl w:val="0"/>
          <w:numId w:val="2"/>
        </w:numPr>
        <w:spacing w:after="60"/>
      </w:pPr>
      <w:r>
        <w:rPr>
          <w:b/>
          <w:bCs/>
          <w:color w:val="16202E"/>
        </w:rPr>
        <w:t xml:space="preserve">Project ID and title</w:t>
      </w:r>
    </w:p>
    <w:p>
      <w:pPr>
        <w:pStyle w:val="ListParagraph"/>
        <w:numPr>
          <w:ilvl w:val="0"/>
          <w:numId w:val="2"/>
        </w:numPr>
        <w:spacing w:after="60"/>
      </w:pPr>
      <w:r>
        <w:rPr>
          <w:b/>
          <w:bCs/>
          <w:color w:val="16202E"/>
        </w:rPr>
        <w:t xml:space="preserve">BAC</w:t>
      </w:r>
      <w:r>
        <w:rPr>
          <w:color w:val="16202E"/>
        </w:rPr>
        <w:t xml:space="preserve"> — current budget at completion (inflation-adjusted from the start month)</w:t>
      </w:r>
    </w:p>
    <w:p>
      <w:pPr>
        <w:pStyle w:val="ListParagraph"/>
        <w:numPr>
          <w:ilvl w:val="0"/>
          <w:numId w:val="2"/>
        </w:numPr>
        <w:spacing w:after="60"/>
      </w:pPr>
      <w:r>
        <w:rPr>
          <w:b/>
          <w:bCs/>
          <w:color w:val="16202E"/>
        </w:rPr>
        <w:t xml:space="preserve">Monthly spend</w:t>
      </w:r>
      <w:r>
        <w:rPr>
          <w:color w:val="16202E"/>
        </w:rPr>
        <w:t xml:space="preserve"> — the S-curve draw this month</w:t>
      </w:r>
    </w:p>
    <w:p>
      <w:pPr>
        <w:pStyle w:val="ListParagraph"/>
        <w:numPr>
          <w:ilvl w:val="0"/>
          <w:numId w:val="2"/>
        </w:numPr>
        <w:spacing w:after="60"/>
      </w:pPr>
      <w:r>
        <w:rPr>
          <w:b/>
          <w:bCs/>
          <w:color w:val="16202E"/>
        </w:rPr>
        <w:t xml:space="preserve">Projected end month</w:t>
      </w:r>
      <w:r>
        <w:rPr>
          <w:color w:val="16202E"/>
        </w:rPr>
        <w:t xml:space="preserve"> — start month plus remaining duration</w:t>
      </w:r>
    </w:p>
    <w:p>
      <w:pPr>
        <w:pStyle w:val="ListParagraph"/>
        <w:numPr>
          <w:ilvl w:val="0"/>
          <w:numId w:val="2"/>
        </w:numPr>
        <w:spacing w:after="60"/>
      </w:pPr>
      <w:r>
        <w:rPr>
          <w:b/>
          <w:bCs/>
          <w:color w:val="16202E"/>
        </w:rPr>
        <w:t xml:space="preserve">Strategic alignment badge</w:t>
      </w:r>
      <w:r>
        <w:rPr>
          <w:color w:val="16202E"/>
        </w:rPr>
        <w:t xml:space="preserve"> (hidden in blind-alignment modes)</w:t>
      </w:r>
    </w:p>
    <w:p>
      <w:pPr>
        <w:pStyle w:val="ListParagraph"/>
        <w:numPr>
          <w:ilvl w:val="0"/>
          <w:numId w:val="2"/>
        </w:numPr>
        <w:spacing w:after="60"/>
      </w:pPr>
      <w:r>
        <w:rPr>
          <w:b/>
          <w:bCs/>
          <w:color w:val="16202E"/>
        </w:rPr>
        <w:t xml:space="preserve">Progress bar</w:t>
      </w:r>
      <w:r>
        <w:rPr>
          <w:color w:val="16202E"/>
        </w:rPr>
        <w:t xml:space="preserve"> — percentage of BAC spent so far</w:t>
      </w:r>
    </w:p>
    <w:p>
      <w:pPr>
        <w:spacing w:after="80"/>
      </w:pPr>
    </w:p>
    <w:p>
      <w:pPr>
        <w:spacing w:after="120"/>
      </w:pPr>
      <w:r>
        <w:rPr>
          <w:color w:val="16202E"/>
        </w:rPr>
        <w:t xml:space="preserve">A colour-coded left border indicates project health:</w:t>
      </w:r>
    </w:p>
    <w:p>
      <w:pPr>
        <w:pStyle w:val="ListParagraph"/>
        <w:numPr>
          <w:ilvl w:val="0"/>
          <w:numId w:val="2"/>
        </w:numPr>
        <w:spacing w:after="60"/>
      </w:pPr>
      <w:r>
        <w:rPr>
          <w:b/>
          <w:bCs/>
          <w:color w:val="16202E"/>
        </w:rPr>
        <w:t xml:space="preserve">Green border</w:t>
      </w:r>
      <w:r>
        <w:rPr>
          <w:color w:val="16202E"/>
        </w:rPr>
        <w:t xml:space="preserve"> — on track (expected to finish before Month 60)</w:t>
      </w:r>
    </w:p>
    <w:p>
      <w:pPr>
        <w:pStyle w:val="ListParagraph"/>
        <w:numPr>
          <w:ilvl w:val="0"/>
          <w:numId w:val="2"/>
        </w:numPr>
        <w:spacing w:after="60"/>
      </w:pPr>
      <w:r>
        <w:rPr>
          <w:b/>
          <w:bCs/>
          <w:color w:val="16202E"/>
        </w:rPr>
        <w:t xml:space="preserve">Amber border</w:t>
      </w:r>
      <w:r>
        <w:rPr>
          <w:color w:val="16202E"/>
        </w:rPr>
        <w:t xml:space="preserve"> — warning (projected finish Month 58–60, or high monthly burn)</w:t>
      </w:r>
    </w:p>
    <w:p>
      <w:pPr>
        <w:pStyle w:val="ListParagraph"/>
        <w:numPr>
          <w:ilvl w:val="0"/>
          <w:numId w:val="2"/>
        </w:numPr>
        <w:spacing w:after="60"/>
      </w:pPr>
      <w:r>
        <w:rPr>
          <w:b/>
          <w:bCs/>
          <w:color w:val="16202E"/>
        </w:rPr>
        <w:t xml:space="preserve">Red border</w:t>
      </w:r>
      <w:r>
        <w:rPr>
          <w:color w:val="16202E"/>
        </w:rPr>
        <w:t xml:space="preserve"> — critical (projected finish after Month 60 — will expire unless sped up)</w:t>
      </w:r>
    </w:p>
    <w:p>
      <w:pPr>
        <w:spacing w:after="80"/>
      </w:pPr>
    </w:p>
    <w:p>
      <w:pPr>
        <w:spacing w:after="120"/>
      </w:pPr>
      <w:r>
        <w:rPr>
          <w:color w:val="16202E"/>
        </w:rPr>
        <w:t xml:space="preserve">Inline status badges appear when:</w:t>
      </w:r>
    </w:p>
    <w:p>
      <w:pPr>
        <w:pStyle w:val="ListParagraph"/>
        <w:numPr>
          <w:ilvl w:val="0"/>
          <w:numId w:val="2"/>
        </w:numPr>
        <w:spacing w:after="60"/>
      </w:pPr>
      <w:r>
        <w:rPr>
          <w:b/>
          <w:bCs/>
          <w:color w:val="16202E"/>
        </w:rPr>
        <w:t xml:space="preserve">Expires M{n}</w:t>
      </w:r>
      <w:r>
        <w:rPr>
          <w:color w:val="16202E"/>
        </w:rPr>
        <w:t xml:space="preserve"> — project will not finish before Month 60 without intervention</w:t>
      </w:r>
    </w:p>
    <w:p>
      <w:pPr>
        <w:pStyle w:val="ListParagraph"/>
        <w:numPr>
          <w:ilvl w:val="0"/>
          <w:numId w:val="2"/>
        </w:numPr>
        <w:spacing w:after="60"/>
      </w:pPr>
      <w:r>
        <w:rPr>
          <w:b/>
          <w:bCs/>
          <w:color w:val="16202E"/>
        </w:rPr>
        <w:t xml:space="preserve">Late risk M{n}</w:t>
      </w:r>
      <w:r>
        <w:rPr>
          <w:color w:val="16202E"/>
        </w:rPr>
        <w:t xml:space="preserve"> — projected finish is dangerously close to Month 60</w:t>
      </w:r>
    </w:p>
    <w:p>
      <w:pPr>
        <w:pStyle w:val="ListParagraph"/>
        <w:numPr>
          <w:ilvl w:val="0"/>
          <w:numId w:val="2"/>
        </w:numPr>
        <w:spacing w:after="60"/>
      </w:pPr>
      <w:r>
        <w:rPr>
          <w:b/>
          <w:bCs/>
          <w:color w:val="16202E"/>
        </w:rPr>
        <w:t xml:space="preserve">High burn</w:t>
      </w:r>
      <w:r>
        <w:rPr>
          <w:color w:val="16202E"/>
        </w:rPr>
        <w:t xml:space="preserve"> — this month’s draw exceeds 25% of the available balance</w:t>
      </w:r>
    </w:p>
    <w:p>
      <w:pPr>
        <w:spacing w:after="80"/>
      </w:pPr>
    </w:p>
    <w:p>
      <w:pPr>
        <w:spacing w:after="120"/>
      </w:pPr>
      <w:r>
        <w:rPr>
          <w:color w:val="16202E"/>
        </w:rPr>
        <w:t xml:space="preserve">Each active project card has four action buttons (described in detail in Section 5):</w:t>
      </w:r>
    </w:p>
    <w:p>
      <w:pPr>
        <w:pStyle w:val="ListParagraph"/>
        <w:numPr>
          <w:ilvl w:val="0"/>
          <w:numId w:val="2"/>
        </w:numPr>
        <w:spacing w:after="60"/>
      </w:pPr>
      <w:r>
        <w:rPr>
          <w:color w:val="16202E"/>
        </w:rPr>
        <w:t xml:space="preserve">Speed — compress remaining duration</w:t>
      </w:r>
    </w:p>
    <w:p>
      <w:pPr>
        <w:pStyle w:val="ListParagraph"/>
        <w:numPr>
          <w:ilvl w:val="0"/>
          <w:numId w:val="2"/>
        </w:numPr>
        <w:spacing w:after="60"/>
      </w:pPr>
      <w:r>
        <w:rPr>
          <w:color w:val="16202E"/>
        </w:rPr>
        <w:t xml:space="preserve">Slow — extend remaining duration to lower monthly burn</w:t>
      </w:r>
    </w:p>
    <w:p>
      <w:pPr>
        <w:pStyle w:val="ListParagraph"/>
        <w:numPr>
          <w:ilvl w:val="0"/>
          <w:numId w:val="2"/>
        </w:numPr>
        <w:spacing w:after="60"/>
      </w:pPr>
      <w:r>
        <w:rPr>
          <w:color w:val="16202E"/>
        </w:rPr>
        <w:t xml:space="preserve">Suspend — pause the project entirely</w:t>
      </w:r>
    </w:p>
    <w:p>
      <w:pPr>
        <w:pStyle w:val="ListParagraph"/>
        <w:numPr>
          <w:ilvl w:val="0"/>
          <w:numId w:val="2"/>
        </w:numPr>
        <w:spacing w:after="60"/>
      </w:pPr>
      <w:r>
        <w:rPr>
          <w:color w:val="16202E"/>
        </w:rPr>
        <w:t xml:space="preserve">Abandon — permanently remove (requires two-click confirmation)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2"/>
              <w:left w:val="single" w:color="4F46E5" w:sz="20"/>
              <w:bottom w:val="none" w:color="FFFFFF" w:sz="0"/>
              <w:right w:val="none" w:color="FFFFFF" w:sz="0"/>
            </w:tcBorders>
            <w:shd w:fill="EEF2FF" w:val="clear"/>
            <w:tcMar>
              <w:top w:type="dxa" w:w="100"/>
              <w:left w:type="dxa" w:w="180"/>
              <w:bottom w:type="dxa" w:w="100"/>
              <w:right w:type="dxa" w:w="100"/>
            </w:tcMar>
          </w:tcPr>
          <w:p>
            <w:pPr>
              <w:spacing w:after="0"/>
            </w:pPr>
            <w:r>
              <w:rPr>
                <w:color w:val="16202E"/>
                <w:sz w:val="21"/>
                <w:szCs w:val="21"/>
              </w:rPr>
              <w:t xml:space="preserve">TIP: Abandon requires two clicks. After the first click the button turns red and shows "Confirm -2 pts" with a 3-second timeout. Click again to confirm, or press X to cancel. This prevents accidental abandonment.</w:t>
            </w:r>
          </w:p>
        </w:tc>
      </w:tr>
    </w:tbl>
    <w:p>
      <w:pPr>
        <w:spacing w:after="160"/>
      </w:pPr>
    </w:p>
    <w:p>
      <w:pPr>
        <w:pStyle w:val="Heading3"/>
        <w:spacing w:after="80" w:before="220"/>
      </w:pPr>
      <w:r>
        <w:rPr>
          <w:rFonts w:ascii="Arial" w:cs="Arial" w:eastAsia="Arial" w:hAnsi="Arial"/>
          <w:b/>
          <w:bCs/>
          <w:color w:val="566379"/>
          <w:sz w:val="24"/>
          <w:szCs w:val="24"/>
        </w:rPr>
        <w:t xml:space="preserve">3.2.4 Suspended Projects</w:t>
      </w:r>
    </w:p>
    <w:p>
      <w:pPr>
        <w:spacing w:after="120"/>
      </w:pPr>
      <w:r>
        <w:rPr>
          <w:color w:val="16202E"/>
        </w:rPr>
        <w:t xml:space="preserve">Suspended projects appear in a separate section below the active list. Each card shows the remaining cost, which continues to inflate even though no cash is being drawn. Two buttons are available:</w:t>
      </w:r>
    </w:p>
    <w:p>
      <w:pPr>
        <w:pStyle w:val="ListParagraph"/>
        <w:numPr>
          <w:ilvl w:val="0"/>
          <w:numId w:val="2"/>
        </w:numPr>
        <w:spacing w:after="60"/>
      </w:pPr>
      <w:r>
        <w:rPr>
          <w:b/>
          <w:bCs/>
          <w:color w:val="16202E"/>
        </w:rPr>
        <w:t xml:space="preserve">Resume (+10%)</w:t>
      </w:r>
      <w:r>
        <w:rPr>
          <w:color w:val="16202E"/>
        </w:rPr>
        <w:t xml:space="preserve"> — restarts the project with a 10% duration penalty applied to the remaining schedule</w:t>
      </w:r>
    </w:p>
    <w:p>
      <w:pPr>
        <w:pStyle w:val="ListParagraph"/>
        <w:numPr>
          <w:ilvl w:val="0"/>
          <w:numId w:val="2"/>
        </w:numPr>
        <w:spacing w:after="60"/>
      </w:pPr>
      <w:r>
        <w:rPr>
          <w:b/>
          <w:bCs/>
          <w:color w:val="16202E"/>
        </w:rPr>
        <w:t xml:space="preserve">Abandon</w:t>
      </w:r>
      <w:r>
        <w:rPr>
          <w:color w:val="16202E"/>
        </w:rPr>
        <w:t xml:space="preserve"> — permanently removes the project (-2 points)</w:t>
      </w:r>
    </w:p>
    <w:p>
      <w:pPr>
        <w:pStyle w:val="Heading3"/>
        <w:spacing w:after="80" w:before="220"/>
      </w:pPr>
      <w:r>
        <w:rPr>
          <w:rFonts w:ascii="Arial" w:cs="Arial" w:eastAsia="Arial" w:hAnsi="Arial"/>
          <w:b/>
          <w:bCs/>
          <w:color w:val="566379"/>
          <w:sz w:val="24"/>
          <w:szCs w:val="24"/>
        </w:rPr>
        <w:t xml:space="preserve">3.2.5 Available Projects Table</w:t>
      </w:r>
    </w:p>
    <w:p>
      <w:pPr>
        <w:spacing w:after="120"/>
      </w:pPr>
      <w:r>
        <w:rPr>
          <w:color w:val="16202E"/>
        </w:rPr>
        <w:t xml:space="preserve">Shows all projects that have not yet been added to the portfolio. A filter chip row lets you narrow the list:</w:t>
      </w:r>
    </w:p>
    <w:p>
      <w:pPr>
        <w:pStyle w:val="ListParagraph"/>
        <w:numPr>
          <w:ilvl w:val="0"/>
          <w:numId w:val="2"/>
        </w:numPr>
        <w:spacing w:after="60"/>
      </w:pPr>
      <w:r>
        <w:rPr>
          <w:b/>
          <w:bCs/>
          <w:color w:val="16202E"/>
        </w:rPr>
        <w:t xml:space="preserve">Affordable</w:t>
      </w:r>
      <w:r>
        <w:rPr>
          <w:color w:val="16202E"/>
        </w:rPr>
        <w:t xml:space="preserve"> — shows only projects whose current BAC is within the available balance</w:t>
      </w:r>
    </w:p>
    <w:p>
      <w:pPr>
        <w:pStyle w:val="ListParagraph"/>
        <w:numPr>
          <w:ilvl w:val="0"/>
          <w:numId w:val="2"/>
        </w:numPr>
        <w:spacing w:after="60"/>
      </w:pPr>
      <w:r>
        <w:rPr>
          <w:b/>
          <w:bCs/>
          <w:color w:val="16202E"/>
        </w:rPr>
        <w:t xml:space="preserve">Can finish</w:t>
      </w:r>
      <w:r>
        <w:rPr>
          <w:color w:val="16202E"/>
        </w:rPr>
        <w:t xml:space="preserve"> — shows only projects that can complete before Month 60 given their planned duration</w:t>
      </w:r>
    </w:p>
    <w:p>
      <w:pPr>
        <w:pStyle w:val="ListParagraph"/>
        <w:numPr>
          <w:ilvl w:val="0"/>
          <w:numId w:val="2"/>
        </w:numPr>
        <w:spacing w:after="60"/>
      </w:pPr>
      <w:r>
        <w:rPr>
          <w:b/>
          <w:bCs/>
          <w:color w:val="16202E"/>
        </w:rPr>
        <w:t xml:space="preserve">High alignment &gt;=70%</w:t>
      </w:r>
      <w:r>
        <w:rPr>
          <w:color w:val="16202E"/>
        </w:rPr>
        <w:t xml:space="preserve"> — shows only projects with a strategic alignment score of 70% or above</w:t>
      </w:r>
    </w:p>
    <w:p>
      <w:pPr>
        <w:spacing w:after="120"/>
      </w:pPr>
      <w:r>
        <w:rPr>
          <w:color w:val="16202E"/>
        </w:rPr>
        <w:t xml:space="preserve">A count chip (e.g. “8 of 24 projects”) shows how many projects match the active filters. Each row includes an Eye icon to open the Project Preview modal before committing.</w:t>
      </w:r>
    </w:p>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4. Project Preview Modal</w:t>
      </w:r>
    </w:p>
    <w:p>
      <w:pPr>
        <w:spacing w:after="120"/>
      </w:pPr>
      <w:r>
        <w:rPr>
          <w:color w:val="16202E"/>
        </w:rPr>
        <w:t xml:space="preserve">Click the Eye icon on any available project to open the Project Preview modal before committing. This modal shows you the full cash-flow impact of adding the project, overlaid on your existing trajectory.</w:t>
      </w:r>
    </w:p>
    <w:p>
      <w:pPr>
        <w:pStyle w:val="Heading2"/>
        <w:spacing w:after="120" w:before="320"/>
      </w:pPr>
      <w:r>
        <w:rPr>
          <w:rFonts w:ascii="Arial" w:cs="Arial" w:eastAsia="Arial" w:hAnsi="Arial"/>
          <w:b/>
          <w:bCs/>
          <w:color w:val="16202E"/>
          <w:sz w:val="28"/>
          <w:szCs w:val="28"/>
        </w:rPr>
        <w:t xml:space="preserve">4.1 What the Preview Shows</w:t>
      </w:r>
    </w:p>
    <w:p>
      <w:pPr>
        <w:pStyle w:val="ListParagraph"/>
        <w:numPr>
          <w:ilvl w:val="0"/>
          <w:numId w:val="2"/>
        </w:numPr>
        <w:spacing w:after="60"/>
      </w:pPr>
      <w:r>
        <w:rPr>
          <w:b/>
          <w:bCs/>
          <w:color w:val="16202E"/>
        </w:rPr>
        <w:t xml:space="preserve">Project attributes</w:t>
      </w:r>
      <w:r>
        <w:rPr>
          <w:color w:val="16202E"/>
        </w:rPr>
        <w:t xml:space="preserve"> — current inflation-adjusted BAC, planned duration, projected end month, and alignment score</w:t>
      </w:r>
    </w:p>
    <w:p>
      <w:pPr>
        <w:pStyle w:val="ListParagraph"/>
        <w:numPr>
          <w:ilvl w:val="0"/>
          <w:numId w:val="2"/>
        </w:numPr>
        <w:spacing w:after="60"/>
      </w:pPr>
      <w:r>
        <w:rPr>
          <w:b/>
          <w:bCs/>
          <w:color w:val="16202E"/>
        </w:rPr>
        <w:t xml:space="preserve">Monthly burn increase</w:t>
      </w:r>
      <w:r>
        <w:rPr>
          <w:color w:val="16202E"/>
        </w:rPr>
        <w:t xml:space="preserve"> — the additional monthly spend this project would add at current inflation rates</w:t>
      </w:r>
    </w:p>
    <w:p>
      <w:pPr>
        <w:pStyle w:val="ListParagraph"/>
        <w:numPr>
          <w:ilvl w:val="0"/>
          <w:numId w:val="2"/>
        </w:numPr>
        <w:spacing w:after="60"/>
      </w:pPr>
      <w:r>
        <w:rPr>
          <w:b/>
          <w:bCs/>
          <w:color w:val="16202E"/>
        </w:rPr>
        <w:t xml:space="preserve">Overlay cash-flow chart</w:t>
      </w:r>
      <w:r>
        <w:rPr>
          <w:color w:val="16202E"/>
        </w:rPr>
        <w:t xml:space="preserve"> — two lines on the same chart: your current Required vs Available trajectory, and the new Required line if you add this project. Areas where Required exceeds Available are highlighted in 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2"/>
              <w:left w:val="single" w:color="4F46E5" w:sz="20"/>
              <w:bottom w:val="none" w:color="FFFFFF" w:sz="0"/>
              <w:right w:val="none" w:color="FFFFFF" w:sz="0"/>
            </w:tcBorders>
            <w:shd w:fill="EEF2FF" w:val="clear"/>
            <w:tcMar>
              <w:top w:type="dxa" w:w="100"/>
              <w:left w:type="dxa" w:w="180"/>
              <w:bottom w:type="dxa" w:w="100"/>
              <w:right w:type="dxa" w:w="100"/>
            </w:tcMar>
          </w:tcPr>
          <w:p>
            <w:pPr>
              <w:spacing w:after="0"/>
            </w:pPr>
            <w:r>
              <w:rPr>
                <w:color w:val="16202E"/>
                <w:sz w:val="21"/>
                <w:szCs w:val="21"/>
              </w:rPr>
              <w:t xml:space="preserve">TIP: If adding a project would push the Required line above the Available line in any future month, you will face a forced shortfall resolution later. Use the Preview to decide whether to add the project now, wait, or slow an existing project first.</w:t>
            </w:r>
          </w:p>
        </w:tc>
      </w:tr>
    </w:tbl>
    <w:p>
      <w:pPr>
        <w:spacing w:after="160"/>
      </w:pPr>
    </w:p>
    <w:p>
      <w:pPr>
        <w:pStyle w:val="Heading2"/>
        <w:spacing w:after="120" w:before="320"/>
      </w:pPr>
      <w:r>
        <w:rPr>
          <w:rFonts w:ascii="Arial" w:cs="Arial" w:eastAsia="Arial" w:hAnsi="Arial"/>
          <w:b/>
          <w:bCs/>
          <w:color w:val="16202E"/>
          <w:sz w:val="28"/>
          <w:szCs w:val="28"/>
        </w:rPr>
        <w:t xml:space="preserve">4.2 Adding from Preview</w:t>
      </w:r>
    </w:p>
    <w:p>
      <w:pPr>
        <w:spacing w:after="120"/>
      </w:pPr>
      <w:r>
        <w:rPr>
          <w:color w:val="16202E"/>
        </w:rPr>
        <w:t xml:space="preserve">After reviewing, click Add to Portfolio inside the modal to commit. Click the X button or click outside the modal to dismiss without adding.</w:t>
      </w:r>
    </w:p>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5. Project Actions</w:t>
      </w:r>
    </w:p>
    <w:p>
      <w:pPr>
        <w:spacing w:after="120"/>
      </w:pPr>
      <w:r>
        <w:rPr>
          <w:color w:val="16202E"/>
        </w:rPr>
        <w:t xml:space="preserve">You may take any number of actions each month before pressing Advance. Actions are recorded in the decision log and visualised in the Debrief decision timeline.</w:t>
      </w:r>
    </w:p>
    <w:p>
      <w:pPr>
        <w:pStyle w:val="Heading2"/>
        <w:spacing w:after="120" w:before="320"/>
      </w:pPr>
      <w:r>
        <w:rPr>
          <w:rFonts w:ascii="Arial" w:cs="Arial" w:eastAsia="Arial" w:hAnsi="Arial"/>
          <w:b/>
          <w:bCs/>
          <w:color w:val="16202E"/>
          <w:sz w:val="28"/>
          <w:szCs w:val="28"/>
        </w:rPr>
        <w:t xml:space="preserve">5.1 Add to Portfolio</w:t>
      </w:r>
    </w:p>
    <w:p>
      <w:pPr>
        <w:spacing w:after="120"/>
      </w:pPr>
      <w:r>
        <w:rPr>
          <w:color w:val="16202E"/>
        </w:rPr>
        <w:t xml:space="preserve">Moves a project from Available to Active (or Pending if an approval lag is configured). The BAC is locked at the current inflation-adjusted value at the moment of addition — waiting makes the project more expensive.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20"/>
              <w:bottom w:val="none" w:color="FFFFFF" w:sz="0"/>
              <w:right w:val="none" w:color="FFFFFF" w:sz="0"/>
            </w:tcBorders>
            <w:shd w:fill="FFFBEB" w:val="clear"/>
            <w:tcMar>
              <w:top w:type="dxa" w:w="100"/>
              <w:left w:type="dxa" w:w="180"/>
              <w:bottom w:type="dxa" w:w="100"/>
              <w:right w:type="dxa" w:w="100"/>
            </w:tcMar>
          </w:tcPr>
          <w:p>
            <w:pPr>
              <w:spacing w:after="0"/>
            </w:pPr>
            <w:r>
              <w:rPr>
                <w:color w:val="16202E"/>
                <w:sz w:val="21"/>
                <w:szCs w:val="21"/>
              </w:rPr>
              <w:t xml:space="preserve">NOTE: If a concurrent cap is configured, you cannot exceed the maximum number of simultaneous active projects. The Add button is disabled when the cap is reached.</w:t>
            </w:r>
          </w:p>
        </w:tc>
      </w:tr>
    </w:tbl>
    <w:p>
      <w:pPr>
        <w:spacing w:after="160"/>
      </w:pPr>
    </w:p>
    <w:p>
      <w:pPr>
        <w:pStyle w:val="Heading2"/>
        <w:spacing w:after="120" w:before="320"/>
      </w:pPr>
      <w:r>
        <w:rPr>
          <w:rFonts w:ascii="Arial" w:cs="Arial" w:eastAsia="Arial" w:hAnsi="Arial"/>
          <w:b/>
          <w:bCs/>
          <w:color w:val="16202E"/>
          <w:sz w:val="28"/>
          <w:szCs w:val="28"/>
        </w:rPr>
        <w:t xml:space="preserve">5.2 Speed Up</w:t>
      </w:r>
    </w:p>
    <w:p>
      <w:pPr>
        <w:spacing w:after="120"/>
      </w:pPr>
      <w:r>
        <w:rPr>
          <w:color w:val="16202E"/>
        </w:rPr>
        <w:t xml:space="preserve">Compresses the remaining duration of an active project. Monthly spend increases because the same remaining budget is now distributed over fewer months. A crash premium of 50% x compression factor x remaining budget is added to the 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20"/>
              <w:bottom w:val="none" w:color="FFFFFF" w:sz="0"/>
              <w:right w:val="none" w:color="FFFFFF" w:sz="0"/>
            </w:tcBorders>
            <w:shd w:fill="FFFBEB" w:val="clear"/>
            <w:tcMar>
              <w:top w:type="dxa" w:w="100"/>
              <w:left w:type="dxa" w:w="180"/>
              <w:bottom w:type="dxa" w:w="100"/>
              <w:right w:type="dxa" w:w="100"/>
            </w:tcMar>
          </w:tcPr>
          <w:p>
            <w:pPr>
              <w:spacing w:after="0"/>
            </w:pPr>
            <w:r>
              <w:rPr>
                <w:color w:val="16202E"/>
                <w:sz w:val="21"/>
                <w:szCs w:val="21"/>
              </w:rPr>
              <w:t xml:space="preserve">WARNING: Speed Up is expensive. Only use it when a near-complete project is about to expire (projected end after Month 60) and the completion credit is worth the premium.</w:t>
            </w:r>
          </w:p>
        </w:tc>
      </w:tr>
    </w:tbl>
    <w:p>
      <w:pPr>
        <w:spacing w:after="160"/>
      </w:pPr>
    </w:p>
    <w:p>
      <w:pPr>
        <w:pStyle w:val="Heading2"/>
        <w:spacing w:after="120" w:before="320"/>
      </w:pPr>
      <w:r>
        <w:rPr>
          <w:rFonts w:ascii="Arial" w:cs="Arial" w:eastAsia="Arial" w:hAnsi="Arial"/>
          <w:b/>
          <w:bCs/>
          <w:color w:val="16202E"/>
          <w:sz w:val="28"/>
          <w:szCs w:val="28"/>
        </w:rPr>
        <w:t xml:space="preserve">5.3 Slow Down</w:t>
      </w:r>
    </w:p>
    <w:p>
      <w:pPr>
        <w:spacing w:after="120"/>
      </w:pPr>
      <w:r>
        <w:rPr>
          <w:color w:val="16202E"/>
        </w:rPr>
        <w:t xml:space="preserve">Extends the remaining duration of an active project. Monthly spend decreases because the same remaining budget is spread over more months. Total real cost increases slightly due to additional inflation months, but this is usually a better option than a forced suspension.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2"/>
              <w:left w:val="single" w:color="059669" w:sz="20"/>
              <w:bottom w:val="none" w:color="FFFFFF" w:sz="0"/>
              <w:right w:val="none" w:color="FFFFFF" w:sz="0"/>
            </w:tcBorders>
            <w:shd w:fill="ECFDF5" w:val="clear"/>
            <w:tcMar>
              <w:top w:type="dxa" w:w="100"/>
              <w:left w:type="dxa" w:w="180"/>
              <w:bottom w:type="dxa" w:w="100"/>
              <w:right w:type="dxa" w:w="100"/>
            </w:tcMar>
          </w:tcPr>
          <w:p>
            <w:pPr>
              <w:spacing w:after="0"/>
            </w:pPr>
            <w:r>
              <w:rPr>
                <w:color w:val="16202E"/>
                <w:sz w:val="21"/>
                <w:szCs w:val="21"/>
              </w:rPr>
              <w:t xml:space="preserve">TIP: Slowing is your primary cash-flow management lever. Use it proactively when the Cash Flow chart shows the Required line approaching the Available line.</w:t>
            </w:r>
          </w:p>
        </w:tc>
      </w:tr>
    </w:tbl>
    <w:p>
      <w:pPr>
        <w:spacing w:after="160"/>
      </w:pPr>
    </w:p>
    <w:p>
      <w:pPr>
        <w:pStyle w:val="Heading2"/>
        <w:spacing w:after="120" w:before="320"/>
      </w:pPr>
      <w:r>
        <w:rPr>
          <w:rFonts w:ascii="Arial" w:cs="Arial" w:eastAsia="Arial" w:hAnsi="Arial"/>
          <w:b/>
          <w:bCs/>
          <w:color w:val="16202E"/>
          <w:sz w:val="28"/>
          <w:szCs w:val="28"/>
        </w:rPr>
        <w:t xml:space="preserve">5.4 Suspend</w:t>
      </w:r>
    </w:p>
    <w:p>
      <w:pPr>
        <w:spacing w:after="120"/>
      </w:pPr>
      <w:r>
        <w:rPr>
          <w:color w:val="16202E"/>
        </w:rPr>
        <w:t xml:space="preserve">Pauses a project immediately. No cash is drawn while suspended, but the remaining cost continues to inflate. Resumption adds a 10% duration penalty. Use Suspend when you need to zero out a project’s monthly demand entirely, but prefer Slow Down if a partial reduction is sufficient.</w:t>
      </w:r>
    </w:p>
    <w:p>
      <w:pPr>
        <w:pStyle w:val="Heading2"/>
        <w:spacing w:after="120" w:before="320"/>
      </w:pPr>
      <w:r>
        <w:rPr>
          <w:rFonts w:ascii="Arial" w:cs="Arial" w:eastAsia="Arial" w:hAnsi="Arial"/>
          <w:b/>
          <w:bCs/>
          <w:color w:val="16202E"/>
          <w:sz w:val="28"/>
          <w:szCs w:val="28"/>
        </w:rPr>
        <w:t xml:space="preserve">5.5 Resume</w:t>
      </w:r>
    </w:p>
    <w:p>
      <w:pPr>
        <w:spacing w:after="120"/>
      </w:pPr>
      <w:r>
        <w:rPr>
          <w:color w:val="16202E"/>
        </w:rPr>
        <w:t xml:space="preserve">Restarts a suspended project. A 10% penalty is added to the remaining duration, extending the projected completion date. Always check whether the new projected end month is still within Month 60 after resuming.</w:t>
      </w:r>
    </w:p>
    <w:p>
      <w:pPr>
        <w:pStyle w:val="Heading2"/>
        <w:spacing w:after="120" w:before="320"/>
      </w:pPr>
      <w:r>
        <w:rPr>
          <w:rFonts w:ascii="Arial" w:cs="Arial" w:eastAsia="Arial" w:hAnsi="Arial"/>
          <w:b/>
          <w:bCs/>
          <w:color w:val="16202E"/>
          <w:sz w:val="28"/>
          <w:szCs w:val="28"/>
        </w:rPr>
        <w:t xml:space="preserve">5.6 Abandon</w:t>
      </w:r>
    </w:p>
    <w:p>
      <w:pPr>
        <w:spacing w:after="120"/>
      </w:pPr>
      <w:r>
        <w:rPr>
          <w:color w:val="16202E"/>
        </w:rPr>
        <w:t xml:space="preserve">Permanently removes a project from the portfolio. All cash drawn to date is lost as sunk cost, and 2 points are deducted from the final score. Abandonment requires two clicks to prevent accidents.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2"/>
              <w:left w:val="single" w:color="059669" w:sz="20"/>
              <w:bottom w:val="none" w:color="FFFFFF" w:sz="0"/>
              <w:right w:val="none" w:color="FFFFFF" w:sz="0"/>
            </w:tcBorders>
            <w:shd w:fill="ECFDF5" w:val="clear"/>
            <w:tcMar>
              <w:top w:type="dxa" w:w="100"/>
              <w:left w:type="dxa" w:w="180"/>
              <w:bottom w:type="dxa" w:w="100"/>
              <w:right w:type="dxa" w:w="100"/>
            </w:tcMar>
          </w:tcPr>
          <w:p>
            <w:pPr>
              <w:spacing w:after="0"/>
            </w:pPr>
            <w:r>
              <w:rPr>
                <w:color w:val="16202E"/>
                <w:sz w:val="21"/>
                <w:szCs w:val="21"/>
              </w:rPr>
              <w:t xml:space="preserve">TIP: Never abandon a project that is more than 40% complete. The sunk cost plus the 2-point penalty almost always exceeds the remaining completion cost.</w:t>
            </w:r>
          </w:p>
        </w:tc>
      </w:tr>
    </w:tbl>
    <w:p>
      <w:pPr>
        <w:spacing w:after="160"/>
      </w:pPr>
    </w:p>
    <w:p>
      <w:pPr>
        <w:pStyle w:val="Heading2"/>
        <w:spacing w:after="120" w:before="320"/>
      </w:pPr>
      <w:r>
        <w:rPr>
          <w:rFonts w:ascii="Arial" w:cs="Arial" w:eastAsia="Arial" w:hAnsi="Arial"/>
          <w:b/>
          <w:bCs/>
          <w:color w:val="16202E"/>
          <w:sz w:val="28"/>
          <w:szCs w:val="28"/>
        </w:rPr>
        <w:t xml:space="preserve">5.7 Action 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440"/>
        <w:gridCol w:w="4480"/>
      </w:tblGrid>
      <w:tr>
        <w:tc>
          <w:tcPr>
            <w:tcW w:type="dxa" w:w="144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Action</w:t>
            </w:r>
          </w:p>
        </w:tc>
        <w:tc>
          <w:tcPr>
            <w:tcW w:type="dxa" w:w="344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When to Use</w:t>
            </w:r>
          </w:p>
        </w:tc>
        <w:tc>
          <w:tcPr>
            <w:tcW w:type="dxa" w:w="448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Cost / Trade-Off</w:t>
            </w:r>
          </w:p>
        </w:tc>
      </w:tr>
      <w:tr>
        <w:tc>
          <w:tcPr>
            <w:tcW w:type="dxa" w:w="144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Add</w:t>
            </w:r>
          </w:p>
        </w:tc>
        <w:tc>
          <w:tcPr>
            <w:tcW w:type="dxa" w:w="344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Project has high alignment, is affordable, and can finish before Month 60</w:t>
            </w:r>
          </w:p>
        </w:tc>
        <w:tc>
          <w:tcPr>
            <w:tcW w:type="dxa" w:w="448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BAC locked at current inflation value</w:t>
            </w:r>
          </w:p>
        </w:tc>
      </w:tr>
      <w:tr>
        <w:tc>
          <w:tcPr>
            <w:tcW w:type="dxa" w:w="144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Speed Up</w:t>
            </w:r>
          </w:p>
        </w:tc>
        <w:tc>
          <w:tcPr>
            <w:tcW w:type="dxa" w:w="344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Project will expire (end &gt; Month 60) and remaining budget justifies crash premium</w:t>
            </w:r>
          </w:p>
        </w:tc>
        <w:tc>
          <w:tcPr>
            <w:tcW w:type="dxa" w:w="448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+50% crash premium on remaining budget; higher monthly burn</w:t>
            </w:r>
          </w:p>
        </w:tc>
      </w:tr>
      <w:tr>
        <w:tc>
          <w:tcPr>
            <w:tcW w:type="dxa" w:w="144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Slow Down</w:t>
            </w:r>
          </w:p>
        </w:tc>
        <w:tc>
          <w:tcPr>
            <w:tcW w:type="dxa" w:w="344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Monthly burn is straining balance or cash flow chart shows coming shortfall</w:t>
            </w:r>
          </w:p>
        </w:tc>
        <w:tc>
          <w:tcPr>
            <w:tcW w:type="dxa" w:w="448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Slightly higher total cost (extra inflation months)</w:t>
            </w:r>
          </w:p>
        </w:tc>
      </w:tr>
      <w:tr>
        <w:tc>
          <w:tcPr>
            <w:tcW w:type="dxa" w:w="144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Suspend</w:t>
            </w:r>
          </w:p>
        </w:tc>
        <w:tc>
          <w:tcPr>
            <w:tcW w:type="dxa" w:w="344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Need to eliminate a project’s monthly draw entirely during a cash crunch</w:t>
            </w:r>
          </w:p>
        </w:tc>
        <w:tc>
          <w:tcPr>
            <w:tcW w:type="dxa" w:w="448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+10% duration penalty on resume; remaining cost inflates while paused</w:t>
            </w:r>
          </w:p>
        </w:tc>
      </w:tr>
      <w:tr>
        <w:tc>
          <w:tcPr>
            <w:tcW w:type="dxa" w:w="144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Resume</w:t>
            </w:r>
          </w:p>
        </w:tc>
        <w:tc>
          <w:tcPr>
            <w:tcW w:type="dxa" w:w="344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Cash flow has recovered and suspended project is still completable</w:t>
            </w:r>
          </w:p>
        </w:tc>
        <w:tc>
          <w:tcPr>
            <w:tcW w:type="dxa" w:w="448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+10% duration penalty</w:t>
            </w:r>
          </w:p>
        </w:tc>
      </w:tr>
      <w:tr>
        <w:tc>
          <w:tcPr>
            <w:tcW w:type="dxa" w:w="144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Abandon</w:t>
            </w:r>
          </w:p>
        </w:tc>
        <w:tc>
          <w:tcPr>
            <w:tcW w:type="dxa" w:w="344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Project is under 40% complete and resources are urgently needed elsewhere</w:t>
            </w:r>
          </w:p>
        </w:tc>
        <w:tc>
          <w:tcPr>
            <w:tcW w:type="dxa" w:w="448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-2 score penalty; sunk costs lost permanently</w:t>
            </w:r>
          </w:p>
        </w:tc>
      </w:tr>
    </w:tbl>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6. Right Analytics Panel</w:t>
      </w:r>
    </w:p>
    <w:p>
      <w:pPr>
        <w:spacing w:after="120"/>
      </w:pPr>
      <w:r>
        <w:rPr>
          <w:color w:val="16202E"/>
        </w:rPr>
        <w:t xml:space="preserve">The right panel provides dashboards and charts to help you analyse the portfolio state. Five tabs are available.</w:t>
      </w:r>
    </w:p>
    <w:p>
      <w:pPr>
        <w:pStyle w:val="Heading2"/>
        <w:spacing w:after="120" w:before="320"/>
      </w:pPr>
      <w:r>
        <w:rPr>
          <w:rFonts w:ascii="Arial" w:cs="Arial" w:eastAsia="Arial" w:hAnsi="Arial"/>
          <w:b/>
          <w:bCs/>
          <w:color w:val="16202E"/>
          <w:sz w:val="28"/>
          <w:szCs w:val="28"/>
        </w:rPr>
        <w:t xml:space="preserve">6.1 Cash Flow Tab</w:t>
      </w:r>
    </w:p>
    <w:p>
      <w:pPr>
        <w:spacing w:after="120"/>
      </w:pPr>
      <w:r>
        <w:rPr>
          <w:color w:val="16202E"/>
        </w:rPr>
        <w:t xml:space="preserve">The most important analytical view. Shows a line chart with:</w:t>
      </w:r>
    </w:p>
    <w:p>
      <w:pPr>
        <w:pStyle w:val="ListParagraph"/>
        <w:numPr>
          <w:ilvl w:val="0"/>
          <w:numId w:val="2"/>
        </w:numPr>
        <w:spacing w:after="60"/>
      </w:pPr>
      <w:r>
        <w:rPr>
          <w:b/>
          <w:bCs/>
          <w:color w:val="16202E"/>
        </w:rPr>
        <w:t xml:space="preserve">Required (red line)</w:t>
      </w:r>
      <w:r>
        <w:rPr>
          <w:color w:val="16202E"/>
        </w:rPr>
        <w:t xml:space="preserve"> — the total inflation-adjusted cash draw from all active projects for each of the 60 months</w:t>
      </w:r>
    </w:p>
    <w:p>
      <w:pPr>
        <w:pStyle w:val="ListParagraph"/>
        <w:numPr>
          <w:ilvl w:val="0"/>
          <w:numId w:val="2"/>
        </w:numPr>
        <w:spacing w:after="60"/>
      </w:pPr>
      <w:r>
        <w:rPr>
          <w:b/>
          <w:bCs/>
          <w:color w:val="16202E"/>
        </w:rPr>
        <w:t xml:space="preserve">Available (green line)</w:t>
      </w:r>
      <w:r>
        <w:rPr>
          <w:color w:val="16202E"/>
        </w:rPr>
        <w:t xml:space="preserve"> — cumulative funding releases plus carryover balance</w:t>
      </w:r>
    </w:p>
    <w:p>
      <w:pPr>
        <w:spacing w:after="120"/>
      </w:pPr>
      <w:r>
        <w:rPr>
          <w:color w:val="16202E"/>
        </w:rPr>
        <w:t xml:space="preserve">When the red line crosses or approaches the green line, you face a shortfall. Vertical reference lines mark each quarterly release. A red dot badge appears on the tab whenever the projection shows a future cash crunch.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2"/>
              <w:left w:val="single" w:color="4F46E5" w:sz="20"/>
              <w:bottom w:val="none" w:color="FFFFFF" w:sz="0"/>
              <w:right w:val="none" w:color="FFFFFF" w:sz="0"/>
            </w:tcBorders>
            <w:shd w:fill="EEF2FF" w:val="clear"/>
            <w:tcMar>
              <w:top w:type="dxa" w:w="100"/>
              <w:left w:type="dxa" w:w="180"/>
              <w:bottom w:type="dxa" w:w="100"/>
              <w:right w:type="dxa" w:w="100"/>
            </w:tcMar>
          </w:tcPr>
          <w:p>
            <w:pPr>
              <w:spacing w:after="0"/>
            </w:pPr>
            <w:r>
              <w:rPr>
                <w:color w:val="16202E"/>
                <w:sz w:val="21"/>
                <w:szCs w:val="21"/>
              </w:rPr>
              <w:t xml:space="preserve">TIP: The Cash Flow tab auto-switches into view whenever a risk alert fires or you open a project preview, because those events change the projection. Get in the habit of checking it before pressing Advance.</w:t>
            </w:r>
          </w:p>
        </w:tc>
      </w:tr>
    </w:tbl>
    <w:p>
      <w:pPr>
        <w:spacing w:after="160"/>
      </w:pPr>
    </w:p>
    <w:p>
      <w:pPr>
        <w:pStyle w:val="Heading2"/>
        <w:spacing w:after="120" w:before="320"/>
      </w:pPr>
      <w:r>
        <w:rPr>
          <w:rFonts w:ascii="Arial" w:cs="Arial" w:eastAsia="Arial" w:hAnsi="Arial"/>
          <w:b/>
          <w:bCs/>
          <w:color w:val="16202E"/>
          <w:sz w:val="28"/>
          <w:szCs w:val="28"/>
        </w:rPr>
        <w:t xml:space="preserve">6.2 Gantt Tab</w:t>
      </w:r>
    </w:p>
    <w:p>
      <w:pPr>
        <w:spacing w:after="120"/>
      </w:pPr>
      <w:r>
        <w:rPr>
          <w:color w:val="16202E"/>
        </w:rPr>
        <w:t xml:space="preserve">A simplified Gantt chart showing all projects that have been added to the portfolio. Bars are coloured by state (active, completed, suspended, expired, abandoned). A vertical line marks the current month. Milestone tick marks (at 25%, 50%, and 75% of BAC) are shown on each bar; a flag icon indicates that a risk event has already fired.</w:t>
      </w:r>
    </w:p>
    <w:p>
      <w:pPr>
        <w:pStyle w:val="Heading2"/>
        <w:spacing w:after="120" w:before="320"/>
      </w:pPr>
      <w:r>
        <w:rPr>
          <w:rFonts w:ascii="Arial" w:cs="Arial" w:eastAsia="Arial" w:hAnsi="Arial"/>
          <w:b/>
          <w:bCs/>
          <w:color w:val="16202E"/>
          <w:sz w:val="28"/>
          <w:szCs w:val="28"/>
        </w:rPr>
        <w:t xml:space="preserve">6.3 S-Curve Tab</w:t>
      </w:r>
    </w:p>
    <w:p>
      <w:pPr>
        <w:spacing w:after="120"/>
      </w:pPr>
      <w:r>
        <w:rPr>
          <w:color w:val="16202E"/>
        </w:rPr>
        <w:t xml:space="preserve">Shows cumulative spend curves for each active, completed, or suspended project. For each project, two lines are drawn:</w:t>
      </w:r>
    </w:p>
    <w:p>
      <w:pPr>
        <w:pStyle w:val="ListParagraph"/>
        <w:numPr>
          <w:ilvl w:val="0"/>
          <w:numId w:val="2"/>
        </w:numPr>
        <w:spacing w:after="60"/>
      </w:pPr>
      <w:r>
        <w:rPr>
          <w:b/>
          <w:bCs/>
          <w:color w:val="16202E"/>
        </w:rPr>
        <w:t xml:space="preserve">Dashed line</w:t>
      </w:r>
      <w:r>
        <w:rPr>
          <w:color w:val="16202E"/>
        </w:rPr>
        <w:t xml:space="preserve"> — the original planned S-curve at the moment the project was added</w:t>
      </w:r>
    </w:p>
    <w:p>
      <w:pPr>
        <w:pStyle w:val="ListParagraph"/>
        <w:numPr>
          <w:ilvl w:val="0"/>
          <w:numId w:val="2"/>
        </w:numPr>
        <w:spacing w:after="60"/>
      </w:pPr>
      <w:r>
        <w:rPr>
          <w:b/>
          <w:bCs/>
          <w:color w:val="16202E"/>
        </w:rPr>
        <w:t xml:space="preserve">Solid line</w:t>
      </w:r>
      <w:r>
        <w:rPr>
          <w:color w:val="16202E"/>
        </w:rPr>
        <w:t xml:space="preserve"> — the current revised curve incorporating any speed-up, slow-down, or BAC changes</w:t>
      </w:r>
    </w:p>
    <w:p>
      <w:pPr>
        <w:spacing w:after="120"/>
      </w:pPr>
      <w:r>
        <w:rPr>
          <w:color w:val="16202E"/>
        </w:rPr>
        <w:t xml:space="preserve">Use the filter chips at the top to view all projects together or isolate a single project.</w:t>
      </w:r>
    </w:p>
    <w:p>
      <w:pPr>
        <w:pStyle w:val="Heading2"/>
        <w:spacing w:after="120" w:before="320"/>
      </w:pPr>
      <w:r>
        <w:rPr>
          <w:rFonts w:ascii="Arial" w:cs="Arial" w:eastAsia="Arial" w:hAnsi="Arial"/>
          <w:b/>
          <w:bCs/>
          <w:color w:val="16202E"/>
          <w:sz w:val="28"/>
          <w:szCs w:val="28"/>
        </w:rPr>
        <w:t xml:space="preserve">6.4 KPI Tab</w:t>
      </w:r>
    </w:p>
    <w:p>
      <w:pPr>
        <w:spacing w:after="120"/>
      </w:pPr>
      <w:r>
        <w:rPr>
          <w:color w:val="16202E"/>
        </w:rPr>
        <w:t xml:space="preserve">Shows three gauge dials and four stat cards:</w:t>
      </w:r>
    </w:p>
    <w:p>
      <w:pPr>
        <w:pStyle w:val="ListParagraph"/>
        <w:numPr>
          <w:ilvl w:val="0"/>
          <w:numId w:val="2"/>
        </w:numPr>
        <w:spacing w:after="60"/>
      </w:pPr>
      <w:r>
        <w:rPr>
          <w:b/>
          <w:bCs/>
          <w:color w:val="16202E"/>
        </w:rPr>
        <w:t xml:space="preserve">Delivered</w:t>
      </w:r>
      <w:r>
        <w:rPr>
          <w:color w:val="16202E"/>
        </w:rPr>
        <w:t xml:space="preserve"> — completed projects vs the theoretical maximum completable within budget</w:t>
      </w:r>
    </w:p>
    <w:p>
      <w:pPr>
        <w:pStyle w:val="ListParagraph"/>
        <w:numPr>
          <w:ilvl w:val="0"/>
          <w:numId w:val="2"/>
        </w:numPr>
        <w:spacing w:after="60"/>
      </w:pPr>
      <w:r>
        <w:rPr>
          <w:b/>
          <w:bCs/>
          <w:color w:val="16202E"/>
        </w:rPr>
        <w:t xml:space="preserve">Budget used</w:t>
      </w:r>
      <w:r>
        <w:rPr>
          <w:color w:val="16202E"/>
        </w:rPr>
        <w:t xml:space="preserve"> — cumulative spend vs total funds released</w:t>
      </w:r>
    </w:p>
    <w:p>
      <w:pPr>
        <w:pStyle w:val="ListParagraph"/>
        <w:numPr>
          <w:ilvl w:val="0"/>
          <w:numId w:val="2"/>
        </w:numPr>
        <w:spacing w:after="60"/>
      </w:pPr>
      <w:r>
        <w:rPr>
          <w:b/>
          <w:bCs/>
          <w:color w:val="16202E"/>
        </w:rPr>
        <w:t xml:space="preserve">Projected score</w:t>
      </w:r>
      <w:r>
        <w:rPr>
          <w:color w:val="16202E"/>
        </w:rPr>
        <w:t xml:space="preserve"> — live score estimate based on current trajectory</w:t>
      </w:r>
    </w:p>
    <w:p>
      <w:pPr>
        <w:pStyle w:val="ListParagraph"/>
        <w:numPr>
          <w:ilvl w:val="0"/>
          <w:numId w:val="2"/>
        </w:numPr>
        <w:spacing w:after="60"/>
      </w:pPr>
      <w:r>
        <w:rPr>
          <w:b/>
          <w:bCs/>
          <w:color w:val="16202E"/>
        </w:rPr>
        <w:t xml:space="preserve">Average alignment</w:t>
      </w:r>
      <w:r>
        <w:rPr>
          <w:color w:val="16202E"/>
        </w:rPr>
        <w:t xml:space="preserve"> of the active and completed portfolio</w:t>
      </w:r>
    </w:p>
    <w:p>
      <w:pPr>
        <w:pStyle w:val="ListParagraph"/>
        <w:numPr>
          <w:ilvl w:val="0"/>
          <w:numId w:val="2"/>
        </w:numPr>
        <w:spacing w:after="60"/>
      </w:pPr>
      <w:r>
        <w:rPr>
          <w:b/>
          <w:bCs/>
          <w:color w:val="16202E"/>
        </w:rPr>
        <w:t xml:space="preserve">Projects at risk</w:t>
      </w:r>
      <w:r>
        <w:rPr>
          <w:color w:val="16202E"/>
        </w:rPr>
        <w:t xml:space="preserve"> — count of active projects flagged for late finish or funding pressure</w:t>
      </w:r>
    </w:p>
    <w:p>
      <w:pPr>
        <w:pStyle w:val="ListParagraph"/>
        <w:numPr>
          <w:ilvl w:val="0"/>
          <w:numId w:val="2"/>
        </w:numPr>
        <w:spacing w:after="60"/>
      </w:pPr>
      <w:r>
        <w:rPr>
          <w:b/>
          <w:bCs/>
          <w:color w:val="16202E"/>
        </w:rPr>
        <w:t xml:space="preserve">Months remaining</w:t>
      </w:r>
      <w:r>
        <w:rPr>
          <w:color w:val="16202E"/>
        </w:rPr>
        <w:t xml:space="preserve"> and current month</w:t>
      </w:r>
    </w:p>
    <w:p>
      <w:pPr>
        <w:pStyle w:val="ListParagraph"/>
        <w:numPr>
          <w:ilvl w:val="0"/>
          <w:numId w:val="2"/>
        </w:numPr>
        <w:spacing w:after="60"/>
      </w:pPr>
      <w:r>
        <w:rPr>
          <w:b/>
          <w:bCs/>
          <w:color w:val="16202E"/>
        </w:rPr>
        <w:t xml:space="preserve">Available funds</w:t>
      </w:r>
      <w:r>
        <w:rPr>
          <w:color w:val="16202E"/>
        </w:rPr>
        <w:t xml:space="preserve"> and quarterly release amount</w:t>
      </w:r>
    </w:p>
    <w:p>
      <w:pPr>
        <w:pStyle w:val="Heading2"/>
        <w:spacing w:after="120" w:before="320"/>
      </w:pPr>
      <w:r>
        <w:rPr>
          <w:rFonts w:ascii="Arial" w:cs="Arial" w:eastAsia="Arial" w:hAnsi="Arial"/>
          <w:b/>
          <w:bCs/>
          <w:color w:val="16202E"/>
          <w:sz w:val="28"/>
          <w:szCs w:val="28"/>
        </w:rPr>
        <w:t xml:space="preserve">6.5 Decisions Tab</w:t>
      </w:r>
    </w:p>
    <w:p>
      <w:pPr>
        <w:spacing w:after="120"/>
      </w:pPr>
      <w:r>
        <w:rPr>
          <w:color w:val="16202E"/>
        </w:rPr>
        <w:t xml:space="preserve">A log of every action taken across the simulation, showing the month, action type, project ID, and title.</w:t>
      </w:r>
    </w:p>
    <w:p>
      <w:pPr>
        <w:pStyle w:val="Heading2"/>
        <w:spacing w:after="120" w:before="320"/>
      </w:pPr>
      <w:r>
        <w:rPr>
          <w:rFonts w:ascii="Arial" w:cs="Arial" w:eastAsia="Arial" w:hAnsi="Arial"/>
          <w:b/>
          <w:bCs/>
          <w:color w:val="16202E"/>
          <w:sz w:val="28"/>
          <w:szCs w:val="28"/>
        </w:rPr>
        <w:t xml:space="preserve">6.6 Dashboard KPI Strip</w:t>
      </w:r>
    </w:p>
    <w:p>
      <w:pPr>
        <w:spacing w:after="120"/>
      </w:pPr>
      <w:r>
        <w:rPr>
          <w:color w:val="16202E"/>
        </w:rPr>
        <w:t xml:space="preserve">Immediately above the right panel tabs, a row of three KPI cards is always visible regardless of which tab is active:</w:t>
      </w:r>
    </w:p>
    <w:p>
      <w:pPr>
        <w:pStyle w:val="ListParagraph"/>
        <w:numPr>
          <w:ilvl w:val="0"/>
          <w:numId w:val="2"/>
        </w:numPr>
        <w:spacing w:after="60"/>
      </w:pPr>
      <w:r>
        <w:rPr>
          <w:b/>
          <w:bCs/>
          <w:color w:val="16202E"/>
        </w:rPr>
        <w:t xml:space="preserve">Funding Efficiency</w:t>
      </w:r>
      <w:r>
        <w:rPr>
          <w:color w:val="16202E"/>
        </w:rPr>
        <w:t xml:space="preserve"> — percentage of released funds that have been deployed to active projects</w:t>
      </w:r>
    </w:p>
    <w:p>
      <w:pPr>
        <w:pStyle w:val="ListParagraph"/>
        <w:numPr>
          <w:ilvl w:val="0"/>
          <w:numId w:val="2"/>
        </w:numPr>
        <w:spacing w:after="60"/>
      </w:pPr>
      <w:r>
        <w:rPr>
          <w:b/>
          <w:bCs/>
          <w:color w:val="16202E"/>
        </w:rPr>
        <w:t xml:space="preserve">Strategic Alignment</w:t>
      </w:r>
      <w:r>
        <w:rPr>
          <w:color w:val="16202E"/>
        </w:rPr>
        <w:t xml:space="preserve"> — budget-weighted average alignment of all active and completed projects</w:t>
      </w:r>
    </w:p>
    <w:p>
      <w:pPr>
        <w:pStyle w:val="ListParagraph"/>
        <w:numPr>
          <w:ilvl w:val="0"/>
          <w:numId w:val="2"/>
        </w:numPr>
        <w:spacing w:after="60"/>
      </w:pPr>
      <w:r>
        <w:rPr>
          <w:b/>
          <w:bCs/>
          <w:color w:val="16202E"/>
        </w:rPr>
        <w:t xml:space="preserve">Completed Projects</w:t>
      </w:r>
      <w:r>
        <w:rPr>
          <w:color w:val="16202E"/>
        </w:rPr>
        <w:t xml:space="preserve"> — count of delivered projects vs the maximum possible</w:t>
      </w:r>
    </w:p>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7. Funding and Shortfall Resolution</w:t>
      </w:r>
    </w:p>
    <w:p>
      <w:pPr>
        <w:pStyle w:val="Heading2"/>
        <w:spacing w:after="120" w:before="320"/>
      </w:pPr>
      <w:r>
        <w:rPr>
          <w:rFonts w:ascii="Arial" w:cs="Arial" w:eastAsia="Arial" w:hAnsi="Arial"/>
          <w:b/>
          <w:bCs/>
          <w:color w:val="16202E"/>
          <w:sz w:val="28"/>
          <w:szCs w:val="28"/>
        </w:rPr>
        <w:t xml:space="preserve">7.1 Quarterly Funding Releases</w:t>
      </w:r>
    </w:p>
    <w:p>
      <w:pPr>
        <w:spacing w:after="120"/>
      </w:pPr>
      <w:r>
        <w:rPr>
          <w:color w:val="16202E"/>
        </w:rPr>
        <w:t xml:space="preserve">The total 60-month budget is divided into 20 quarterly tranches released at the start of Months 1, 4, 7, 10 … 58. The shape of these tranches depends on the Funding Profile setting:</w:t>
      </w:r>
    </w:p>
    <w:p>
      <w:pPr>
        <w:pStyle w:val="ListParagraph"/>
        <w:numPr>
          <w:ilvl w:val="0"/>
          <w:numId w:val="2"/>
        </w:numPr>
        <w:spacing w:after="60"/>
      </w:pPr>
      <w:r>
        <w:rPr>
          <w:b/>
          <w:bCs/>
          <w:color w:val="16202E"/>
        </w:rPr>
        <w:t xml:space="preserve">Flat</w:t>
      </w:r>
      <w:r>
        <w:rPr>
          <w:color w:val="16202E"/>
        </w:rPr>
        <w:t xml:space="preserve"> — equal amount every quarter</w:t>
      </w:r>
    </w:p>
    <w:p>
      <w:pPr>
        <w:pStyle w:val="ListParagraph"/>
        <w:numPr>
          <w:ilvl w:val="0"/>
          <w:numId w:val="2"/>
        </w:numPr>
        <w:spacing w:after="60"/>
      </w:pPr>
      <w:r>
        <w:rPr>
          <w:b/>
          <w:bCs/>
          <w:color w:val="16202E"/>
        </w:rPr>
        <w:t xml:space="preserve">S-curve</w:t>
      </w:r>
      <w:r>
        <w:rPr>
          <w:color w:val="16202E"/>
        </w:rPr>
        <w:t xml:space="preserve"> — small releases early and late, large releases mid-simulation</w:t>
      </w:r>
    </w:p>
    <w:p>
      <w:pPr>
        <w:pStyle w:val="ListParagraph"/>
        <w:numPr>
          <w:ilvl w:val="0"/>
          <w:numId w:val="2"/>
        </w:numPr>
        <w:spacing w:after="60"/>
      </w:pPr>
      <w:r>
        <w:rPr>
          <w:b/>
          <w:bCs/>
          <w:color w:val="16202E"/>
        </w:rPr>
        <w:t xml:space="preserve">Front-loaded</w:t>
      </w:r>
      <w:r>
        <w:rPr>
          <w:color w:val="16202E"/>
        </w:rPr>
        <w:t xml:space="preserve"> — largest releases at the start, declining each quarter</w:t>
      </w:r>
    </w:p>
    <w:p>
      <w:pPr>
        <w:pStyle w:val="ListParagraph"/>
        <w:numPr>
          <w:ilvl w:val="0"/>
          <w:numId w:val="2"/>
        </w:numPr>
        <w:spacing w:after="60"/>
      </w:pPr>
      <w:r>
        <w:rPr>
          <w:b/>
          <w:bCs/>
          <w:color w:val="16202E"/>
        </w:rPr>
        <w:t xml:space="preserve">Back-loaded</w:t>
      </w:r>
      <w:r>
        <w:rPr>
          <w:color w:val="16202E"/>
        </w:rPr>
        <w:t xml:space="preserve"> — smallest releases at the start, largest at the end</w:t>
      </w:r>
    </w:p>
    <w:p>
      <w:pPr>
        <w:pStyle w:val="ListParagraph"/>
        <w:numPr>
          <w:ilvl w:val="0"/>
          <w:numId w:val="2"/>
        </w:numPr>
        <w:spacing w:after="60"/>
      </w:pPr>
      <w:r>
        <w:rPr>
          <w:b/>
          <w:bCs/>
          <w:color w:val="16202E"/>
        </w:rPr>
        <w:t xml:space="preserve">Volatile</w:t>
      </w:r>
      <w:r>
        <w:rPr>
          <w:color w:val="16202E"/>
        </w:rPr>
        <w:t xml:space="preserve"> — random variation in each quarter’s tranche amount</w:t>
      </w:r>
    </w:p>
    <w:p>
      <w:pPr>
        <w:spacing w:after="120"/>
      </w:pPr>
      <w:r>
        <w:rPr>
          <w:color w:val="16202E"/>
        </w:rPr>
        <w:t xml:space="preserve">Unused funds carry over indefinitely — there is no use-it-or-lose-it rule.</w:t>
      </w:r>
    </w:p>
    <w:p>
      <w:pPr>
        <w:pStyle w:val="Heading2"/>
        <w:spacing w:after="120" w:before="320"/>
      </w:pPr>
      <w:r>
        <w:rPr>
          <w:rFonts w:ascii="Arial" w:cs="Arial" w:eastAsia="Arial" w:hAnsi="Arial"/>
          <w:b/>
          <w:bCs/>
          <w:color w:val="16202E"/>
          <w:sz w:val="28"/>
          <w:szCs w:val="28"/>
        </w:rPr>
        <w:t xml:space="preserve">7.2 Shortfall Resolution</w:t>
      </w:r>
    </w:p>
    <w:p>
      <w:pPr>
        <w:spacing w:after="120"/>
      </w:pPr>
      <w:r>
        <w:rPr>
          <w:color w:val="16202E"/>
        </w:rPr>
        <w:t xml:space="preserve">If total monthly demand exceeds the available balance when you press Advance, a Shortfall Resolution panel opens. You cannot advance until the demand gap is closed by one or more of:</w:t>
      </w:r>
    </w:p>
    <w:p>
      <w:pPr>
        <w:pStyle w:val="ListParagraph"/>
        <w:numPr>
          <w:ilvl w:val="0"/>
          <w:numId w:val="2"/>
        </w:numPr>
        <w:spacing w:after="60"/>
      </w:pPr>
      <w:r>
        <w:rPr>
          <w:color w:val="16202E"/>
        </w:rPr>
        <w:t xml:space="preserve">Slowing one or more active projects to reduce their monthly draw</w:t>
      </w:r>
    </w:p>
    <w:p>
      <w:pPr>
        <w:pStyle w:val="ListParagraph"/>
        <w:numPr>
          <w:ilvl w:val="0"/>
          <w:numId w:val="2"/>
        </w:numPr>
        <w:spacing w:after="60"/>
      </w:pPr>
      <w:r>
        <w:rPr>
          <w:color w:val="16202E"/>
        </w:rPr>
        <w:t xml:space="preserve">Suspending one or more active projects entirely</w:t>
      </w:r>
    </w:p>
    <w:p>
      <w:pPr>
        <w:pStyle w:val="ListParagraph"/>
        <w:numPr>
          <w:ilvl w:val="0"/>
          <w:numId w:val="2"/>
        </w:numPr>
        <w:spacing w:after="60"/>
      </w:pPr>
      <w:r>
        <w:rPr>
          <w:color w:val="16202E"/>
        </w:rPr>
        <w:t xml:space="preserve">Abandoning projects (last resort — costs 2 points each)</w:t>
      </w:r>
    </w:p>
    <w:p>
      <w:pPr>
        <w:spacing w:after="120"/>
      </w:pPr>
      <w:r>
        <w:rPr>
          <w:color w:val="16202E"/>
        </w:rPr>
        <w:t xml:space="preserve">Proactive use of Slow Down and the Cash Flow tab prevents most forced shortfalls.</w:t>
      </w:r>
    </w:p>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8. Risk Events</w:t>
      </w:r>
    </w:p>
    <w:p>
      <w:pPr>
        <w:pStyle w:val="Heading2"/>
        <w:spacing w:after="120" w:before="320"/>
      </w:pPr>
      <w:r>
        <w:rPr>
          <w:rFonts w:ascii="Arial" w:cs="Arial" w:eastAsia="Arial" w:hAnsi="Arial"/>
          <w:b/>
          <w:bCs/>
          <w:color w:val="16202E"/>
          <w:sz w:val="28"/>
          <w:szCs w:val="28"/>
        </w:rPr>
        <w:t xml:space="preserve">8.1 Milestone Triggers</w:t>
      </w:r>
    </w:p>
    <w:p>
      <w:pPr>
        <w:spacing w:after="120"/>
      </w:pPr>
      <w:r>
        <w:rPr>
          <w:color w:val="16202E"/>
        </w:rPr>
        <w:t xml:space="preserve">Each active project has three risk checkpoints — triggered when cumulative spend crosses 25%, 50%, and 75% of its current BAC. At each checkpoint the simulator independently rolls for cost and duration shocks using the project’s risk factors.</w:t>
      </w:r>
    </w:p>
    <w:p>
      <w:pPr>
        <w:pStyle w:val="Heading2"/>
        <w:spacing w:after="120" w:before="320"/>
      </w:pPr>
      <w:r>
        <w:rPr>
          <w:rFonts w:ascii="Arial" w:cs="Arial" w:eastAsia="Arial" w:hAnsi="Arial"/>
          <w:b/>
          <w:bCs/>
          <w:color w:val="16202E"/>
          <w:sz w:val="28"/>
          <w:szCs w:val="28"/>
        </w:rPr>
        <w:t xml:space="preserve">8.2 What Can Happen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Shock Type</w:t>
            </w:r>
          </w:p>
        </w:tc>
        <w:tc>
          <w:tcPr>
            <w:tcW w:type="dxa" w:w="696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Effect</w:t>
            </w:r>
          </w:p>
        </w:tc>
      </w:tr>
      <w:tr>
        <w:tc>
          <w:tcPr>
            <w:tcW w:type="dxa" w:w="24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Cost increase</w:t>
            </w:r>
          </w:p>
        </w:tc>
        <w:tc>
          <w:tcPr>
            <w:tcW w:type="dxa" w:w="69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BAC rises by the project’s cost risk factor (5–40% depending on Risk Multiplier). Future monthly demand increases.</w:t>
            </w:r>
          </w:p>
        </w:tc>
      </w:tr>
      <w:tr>
        <w:tc>
          <w:tcPr>
            <w:tcW w:type="dxa" w:w="24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Cost decrease</w:t>
            </w:r>
          </w:p>
        </w:tc>
        <w:tc>
          <w:tcPr>
            <w:tcW w:type="dxa" w:w="69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BAC falls. Rare, but can free up cash.</w:t>
            </w:r>
          </w:p>
        </w:tc>
      </w:tr>
      <w:tr>
        <w:tc>
          <w:tcPr>
            <w:tcW w:type="dxa" w:w="24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Duration extension</w:t>
            </w:r>
          </w:p>
        </w:tc>
        <w:tc>
          <w:tcPr>
            <w:tcW w:type="dxa" w:w="69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Remaining duration lengthens. May push projected completion past Month 60.</w:t>
            </w:r>
          </w:p>
        </w:tc>
      </w:tr>
      <w:tr>
        <w:tc>
          <w:tcPr>
            <w:tcW w:type="dxa" w:w="24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Duration compression</w:t>
            </w:r>
          </w:p>
        </w:tc>
        <w:tc>
          <w:tcPr>
            <w:tcW w:type="dxa" w:w="69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Remaining duration shortens. Can sometimes rescue a project at risk of expiry.</w:t>
            </w:r>
          </w:p>
        </w:tc>
      </w:tr>
      <w:tr>
        <w:tc>
          <w:tcPr>
            <w:tcW w:type="dxa" w:w="24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Both cost and duration</w:t>
            </w:r>
          </w:p>
        </w:tc>
        <w:tc>
          <w:tcPr>
            <w:tcW w:type="dxa" w:w="69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Cost and duration shocks can trigger simultaneously and independently.</w:t>
            </w:r>
          </w:p>
        </w:tc>
      </w:tr>
    </w:tbl>
    <w:p>
      <w:pPr>
        <w:spacing w:after="80"/>
      </w:pPr>
    </w:p>
    <w:p>
      <w:pPr>
        <w:pStyle w:val="Heading2"/>
        <w:spacing w:after="120" w:before="320"/>
      </w:pPr>
      <w:r>
        <w:rPr>
          <w:rFonts w:ascii="Arial" w:cs="Arial" w:eastAsia="Arial" w:hAnsi="Arial"/>
          <w:b/>
          <w:bCs/>
          <w:color w:val="16202E"/>
          <w:sz w:val="28"/>
          <w:szCs w:val="28"/>
        </w:rPr>
        <w:t xml:space="preserve">8.3 Responding to Risk Events</w:t>
      </w:r>
    </w:p>
    <w:p>
      <w:pPr>
        <w:pStyle w:val="ListParagraph"/>
        <w:numPr>
          <w:ilvl w:val="0"/>
          <w:numId w:val="2"/>
        </w:numPr>
        <w:spacing w:after="60"/>
      </w:pPr>
      <w:r>
        <w:rPr>
          <w:color w:val="16202E"/>
        </w:rPr>
        <w:t xml:space="preserve">Check the red alert card in the left panel for details of the shock</w:t>
      </w:r>
    </w:p>
    <w:p>
      <w:pPr>
        <w:pStyle w:val="ListParagraph"/>
        <w:numPr>
          <w:ilvl w:val="0"/>
          <w:numId w:val="2"/>
        </w:numPr>
        <w:spacing w:after="60"/>
      </w:pPr>
      <w:r>
        <w:rPr>
          <w:color w:val="16202E"/>
        </w:rPr>
        <w:t xml:space="preserve">Switch to the Cash Flow tab to see the updated projection</w:t>
      </w:r>
    </w:p>
    <w:p>
      <w:pPr>
        <w:pStyle w:val="ListParagraph"/>
        <w:numPr>
          <w:ilvl w:val="0"/>
          <w:numId w:val="2"/>
        </w:numPr>
        <w:spacing w:after="60"/>
      </w:pPr>
      <w:r>
        <w:rPr>
          <w:color w:val="16202E"/>
        </w:rPr>
        <w:t xml:space="preserve">If the project’s new projected end is after Month 60, consider Speed Up (if nearly complete) or review whether to suspend or abandon</w:t>
      </w:r>
    </w:p>
    <w:p>
      <w:pPr>
        <w:pStyle w:val="ListParagraph"/>
        <w:numPr>
          <w:ilvl w:val="0"/>
          <w:numId w:val="2"/>
        </w:numPr>
        <w:spacing w:after="60"/>
      </w:pPr>
      <w:r>
        <w:rPr>
          <w:color w:val="16202E"/>
        </w:rPr>
        <w:t xml:space="preserve">If BAC has increased significantly, check whether other active projects can be slowed to accommodate the higher demand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2"/>
              <w:left w:val="single" w:color="059669" w:sz="20"/>
              <w:bottom w:val="none" w:color="FFFFFF" w:sz="0"/>
              <w:right w:val="none" w:color="FFFFFF" w:sz="0"/>
            </w:tcBorders>
            <w:shd w:fill="ECFDF5" w:val="clear"/>
            <w:tcMar>
              <w:top w:type="dxa" w:w="100"/>
              <w:left w:type="dxa" w:w="180"/>
              <w:bottom w:type="dxa" w:w="100"/>
              <w:right w:type="dxa" w:w="100"/>
            </w:tcMar>
          </w:tcPr>
          <w:p>
            <w:pPr>
              <w:spacing w:after="0"/>
            </w:pPr>
            <w:r>
              <w:rPr>
                <w:color w:val="16202E"/>
                <w:sz w:val="21"/>
                <w:szCs w:val="21"/>
              </w:rPr>
              <w:t xml:space="preserve">TIP: Keep a cash buffer in the mid-game. Risk events are most damaging when they arrive while the Available balance is already low. A voluntary slowdown before Month 30 is almost always worth it.</w:t>
            </w:r>
          </w:p>
        </w:tc>
      </w:tr>
    </w:tbl>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9. Scoring System</w:t>
      </w:r>
    </w:p>
    <w:p>
      <w:pPr>
        <w:spacing w:after="120"/>
      </w:pPr>
      <w:r>
        <w:rPr>
          <w:color w:val="16202E"/>
        </w:rPr>
        <w:t xml:space="preserve">At the end of Month 60, the simulator calculates a composite score out of 100 across three components.</w:t>
      </w:r>
    </w:p>
    <w:p>
      <w:pPr>
        <w:pStyle w:val="Heading2"/>
        <w:spacing w:after="120" w:before="320"/>
      </w:pPr>
      <w:r>
        <w:rPr>
          <w:rFonts w:ascii="Arial" w:cs="Arial" w:eastAsia="Arial" w:hAnsi="Arial"/>
          <w:b/>
          <w:bCs/>
          <w:color w:val="16202E"/>
          <w:sz w:val="28"/>
          <w:szCs w:val="28"/>
        </w:rPr>
        <w:t xml:space="preserve">9.1 Score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Component</w:t>
            </w:r>
          </w:p>
        </w:tc>
        <w:tc>
          <w:tcPr>
            <w:tcW w:type="dxa" w:w="16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Weight</w:t>
            </w:r>
          </w:p>
        </w:tc>
        <w:tc>
          <w:tcPr>
            <w:tcW w:type="dxa" w:w="536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Formula</w:t>
            </w:r>
          </w:p>
        </w:tc>
      </w:tr>
      <w:tr>
        <w:tc>
          <w:tcPr>
            <w:tcW w:type="dxa" w:w="24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Delivery</w:t>
            </w:r>
          </w:p>
        </w:tc>
        <w:tc>
          <w:tcPr>
            <w:tcW w:type="dxa" w:w="16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40 points</w:t>
            </w:r>
          </w:p>
        </w:tc>
        <w:tc>
          <w:tcPr>
            <w:tcW w:type="dxa" w:w="53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Completed projects ÷ maximum theoretically completable x 40</w:t>
            </w:r>
          </w:p>
        </w:tc>
      </w:tr>
      <w:tr>
        <w:tc>
          <w:tcPr>
            <w:tcW w:type="dxa" w:w="24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Strategic Alignment</w:t>
            </w:r>
          </w:p>
        </w:tc>
        <w:tc>
          <w:tcPr>
            <w:tcW w:type="dxa" w:w="16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35 points</w:t>
            </w:r>
          </w:p>
        </w:tc>
        <w:tc>
          <w:tcPr>
            <w:tcW w:type="dxa" w:w="53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Average alignment of completed projects only x 35</w:t>
            </w:r>
          </w:p>
        </w:tc>
      </w:tr>
      <w:tr>
        <w:tc>
          <w:tcPr>
            <w:tcW w:type="dxa" w:w="24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Budget Efficiency</w:t>
            </w:r>
          </w:p>
        </w:tc>
        <w:tc>
          <w:tcPr>
            <w:tcW w:type="dxa" w:w="16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25 points</w:t>
            </w:r>
          </w:p>
        </w:tc>
        <w:tc>
          <w:tcPr>
            <w:tcW w:type="dxa" w:w="53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(1 − (sunk costs + unspent cash) ÷ total budget) x 25</w:t>
            </w:r>
          </w:p>
        </w:tc>
      </w:tr>
    </w:tbl>
    <w:p>
      <w:pPr>
        <w:spacing w:after="80"/>
      </w:pPr>
    </w:p>
    <w:p>
      <w:pPr>
        <w:pStyle w:val="Heading2"/>
        <w:spacing w:after="120" w:before="320"/>
      </w:pPr>
      <w:r>
        <w:rPr>
          <w:rFonts w:ascii="Arial" w:cs="Arial" w:eastAsia="Arial" w:hAnsi="Arial"/>
          <w:b/>
          <w:bCs/>
          <w:color w:val="16202E"/>
          <w:sz w:val="28"/>
          <w:szCs w:val="28"/>
        </w:rPr>
        <w:t xml:space="preserve">9.2 Penalties</w:t>
      </w:r>
    </w:p>
    <w:p>
      <w:pPr>
        <w:pStyle w:val="ListParagraph"/>
        <w:numPr>
          <w:ilvl w:val="0"/>
          <w:numId w:val="2"/>
        </w:numPr>
        <w:spacing w:after="60"/>
      </w:pPr>
      <w:r>
        <w:rPr>
          <w:b/>
          <w:bCs/>
          <w:color w:val="16202E"/>
        </w:rPr>
        <w:t xml:space="preserve">-2 points</w:t>
      </w:r>
      <w:r>
        <w:rPr>
          <w:color w:val="16202E"/>
        </w:rPr>
        <w:t xml:space="preserve"> for each abandoned project (permanently deducted at the moment of abandonment)</w:t>
      </w:r>
    </w:p>
    <w:p>
      <w:pPr>
        <w:pStyle w:val="ListParagraph"/>
        <w:numPr>
          <w:ilvl w:val="0"/>
          <w:numId w:val="2"/>
        </w:numPr>
        <w:spacing w:after="60"/>
      </w:pPr>
      <w:r>
        <w:rPr>
          <w:b/>
          <w:bCs/>
          <w:color w:val="16202E"/>
        </w:rPr>
        <w:t xml:space="preserve">-1 point</w:t>
      </w:r>
      <w:r>
        <w:rPr>
          <w:color w:val="16202E"/>
        </w:rPr>
        <w:t xml:space="preserve"> for each project still active or suspended at Month 60 that has not completed (expired)</w:t>
      </w:r>
    </w:p>
    <w:p>
      <w:pPr>
        <w:spacing w:after="120"/>
      </w:pPr>
      <w:r>
        <w:rPr>
          <w:color w:val="16202E"/>
        </w:rPr>
        <w:t xml:space="preserve">The score is floored at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2"/>
              <w:left w:val="single" w:color="D97706" w:sz="20"/>
              <w:bottom w:val="none" w:color="FFFFFF" w:sz="0"/>
              <w:right w:val="none" w:color="FFFFFF" w:sz="0"/>
            </w:tcBorders>
            <w:shd w:fill="FFFBEB" w:val="clear"/>
            <w:tcMar>
              <w:top w:type="dxa" w:w="100"/>
              <w:left w:type="dxa" w:w="180"/>
              <w:bottom w:type="dxa" w:w="100"/>
              <w:right w:type="dxa" w:w="100"/>
            </w:tcMar>
          </w:tcPr>
          <w:p>
            <w:pPr>
              <w:spacing w:after="0"/>
            </w:pPr>
            <w:r>
              <w:rPr>
                <w:color w:val="16202E"/>
                <w:sz w:val="21"/>
                <w:szCs w:val="21"/>
              </w:rPr>
              <w:t xml:space="preserve">NOTE: Unspent cash is penalised identically to sunk costs. Idle money is never neutral — deploy it or it works against your Budget Efficiency score.</w:t>
            </w:r>
          </w:p>
        </w:tc>
      </w:tr>
    </w:tbl>
    <w:p>
      <w:pPr>
        <w:spacing w:after="160"/>
      </w:pPr>
    </w:p>
    <w:p>
      <w:pPr>
        <w:pStyle w:val="Heading2"/>
        <w:spacing w:after="120" w:before="320"/>
      </w:pPr>
      <w:r>
        <w:rPr>
          <w:rFonts w:ascii="Arial" w:cs="Arial" w:eastAsia="Arial" w:hAnsi="Arial"/>
          <w:b/>
          <w:bCs/>
          <w:color w:val="16202E"/>
          <w:sz w:val="28"/>
          <w:szCs w:val="28"/>
        </w:rPr>
        <w:t xml:space="preserve">9.3 Performance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Score Range</w:t>
            </w:r>
          </w:p>
        </w:tc>
        <w:tc>
          <w:tcPr>
            <w:tcW w:type="dxa" w:w="20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Band</w:t>
            </w:r>
          </w:p>
        </w:tc>
        <w:tc>
          <w:tcPr>
            <w:tcW w:type="dxa" w:w="556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Interpretation</w:t>
            </w:r>
          </w:p>
        </w:tc>
      </w:tr>
      <w:tr>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85–100</w:t>
            </w:r>
          </w:p>
        </w:tc>
        <w:tc>
          <w:tcPr>
            <w:tcW w:type="dxa" w:w="2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Excellent</w:t>
            </w:r>
          </w:p>
        </w:tc>
        <w:tc>
          <w:tcPr>
            <w:tcW w:type="dxa" w:w="55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Optimal portfolio management — high delivery, high alignment, low waste</w:t>
            </w:r>
          </w:p>
        </w:tc>
      </w:tr>
      <w:tr>
        <w:tc>
          <w:tcPr>
            <w:tcW w:type="dxa" w:w="1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70–84</w:t>
            </w:r>
          </w:p>
        </w:tc>
        <w:tc>
          <w:tcPr>
            <w:tcW w:type="dxa" w:w="2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Good</w:t>
            </w:r>
          </w:p>
        </w:tc>
        <w:tc>
          <w:tcPr>
            <w:tcW w:type="dxa" w:w="55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Strong performance with minor inefficiencies</w:t>
            </w:r>
          </w:p>
        </w:tc>
      </w:tr>
      <w:tr>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55–69</w:t>
            </w:r>
          </w:p>
        </w:tc>
        <w:tc>
          <w:tcPr>
            <w:tcW w:type="dxa" w:w="2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Satisfactory</w:t>
            </w:r>
          </w:p>
        </w:tc>
        <w:tc>
          <w:tcPr>
            <w:tcW w:type="dxa" w:w="55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Adequate delivery but alignment or efficiency gaps are evident</w:t>
            </w:r>
          </w:p>
        </w:tc>
      </w:tr>
      <w:tr>
        <w:tc>
          <w:tcPr>
            <w:tcW w:type="dxa" w:w="1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40–54</w:t>
            </w:r>
          </w:p>
        </w:tc>
        <w:tc>
          <w:tcPr>
            <w:tcW w:type="dxa" w:w="2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Poor</w:t>
            </w:r>
          </w:p>
        </w:tc>
        <w:tc>
          <w:tcPr>
            <w:tcW w:type="dxa" w:w="55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Significant undelivered projects or budget waste</w:t>
            </w:r>
          </w:p>
        </w:tc>
      </w:tr>
      <w:tr>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0–39</w:t>
            </w:r>
          </w:p>
        </w:tc>
        <w:tc>
          <w:tcPr>
            <w:tcW w:type="dxa" w:w="2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Needs Development</w:t>
            </w:r>
          </w:p>
        </w:tc>
        <w:tc>
          <w:tcPr>
            <w:tcW w:type="dxa" w:w="55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Major delivery failures, excessive abandonment, or large unspent balance</w:t>
            </w:r>
          </w:p>
        </w:tc>
      </w:tr>
    </w:tbl>
    <w:p>
      <w:pPr>
        <w:spacing w:after="80"/>
      </w:pPr>
    </w:p>
    <w:p>
      <w:pPr>
        <w:pStyle w:val="Heading2"/>
        <w:spacing w:after="120" w:before="320"/>
      </w:pPr>
      <w:r>
        <w:rPr>
          <w:rFonts w:ascii="Arial" w:cs="Arial" w:eastAsia="Arial" w:hAnsi="Arial"/>
          <w:b/>
          <w:bCs/>
          <w:color w:val="16202E"/>
          <w:sz w:val="28"/>
          <w:szCs w:val="28"/>
        </w:rPr>
        <w:t xml:space="preserve">9.4 Live Score Estimate</w:t>
      </w:r>
    </w:p>
    <w:p>
      <w:pPr>
        <w:spacing w:after="120"/>
      </w:pPr>
      <w:r>
        <w:rPr>
          <w:color w:val="16202E"/>
        </w:rPr>
        <w:t xml:space="preserve">During the simulation, the KPI tab’s Projected Score dial shows a live estimate based on the current trajectory — treating active projects as if they complete on schedule and available balance as unspent waste. This is an approximation; the final score is only calculated after Month 60.</w:t>
      </w:r>
    </w:p>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10. Debrief Screen</w:t>
      </w:r>
    </w:p>
    <w:p>
      <w:pPr>
        <w:spacing w:after="120"/>
      </w:pPr>
      <w:r>
        <w:rPr>
          <w:color w:val="16202E"/>
        </w:rPr>
        <w:t xml:space="preserve">After Month 60 is advanced, the simulation ends and the Debrief screen appears. Your results are automatically saved to the leaderboard.</w:t>
      </w:r>
    </w:p>
    <w:p>
      <w:pPr>
        <w:pStyle w:val="Heading2"/>
        <w:spacing w:after="120" w:before="320"/>
      </w:pPr>
      <w:r>
        <w:rPr>
          <w:rFonts w:ascii="Arial" w:cs="Arial" w:eastAsia="Arial" w:hAnsi="Arial"/>
          <w:b/>
          <w:bCs/>
          <w:color w:val="16202E"/>
          <w:sz w:val="28"/>
          <w:szCs w:val="28"/>
        </w:rPr>
        <w:t xml:space="preserve">10.1 Score Summary Panel</w:t>
      </w:r>
    </w:p>
    <w:p>
      <w:pPr>
        <w:pStyle w:val="ListParagraph"/>
        <w:numPr>
          <w:ilvl w:val="0"/>
          <w:numId w:val="2"/>
        </w:numPr>
        <w:spacing w:after="60"/>
      </w:pPr>
      <w:r>
        <w:rPr>
          <w:color w:val="16202E"/>
        </w:rPr>
        <w:t xml:space="preserve">Final composite score and performance band</w:t>
      </w:r>
    </w:p>
    <w:p>
      <w:pPr>
        <w:pStyle w:val="ListParagraph"/>
        <w:numPr>
          <w:ilvl w:val="0"/>
          <w:numId w:val="2"/>
        </w:numPr>
        <w:spacing w:after="60"/>
      </w:pPr>
      <w:r>
        <w:rPr>
          <w:color w:val="16202E"/>
        </w:rPr>
        <w:t xml:space="preserve">Breakdown of Delivery, Alignment, and Efficiency sub-scores</w:t>
      </w:r>
    </w:p>
    <w:p>
      <w:pPr>
        <w:pStyle w:val="ListParagraph"/>
        <w:numPr>
          <w:ilvl w:val="0"/>
          <w:numId w:val="2"/>
        </w:numPr>
        <w:spacing w:after="60"/>
      </w:pPr>
      <w:r>
        <w:rPr>
          <w:color w:val="16202E"/>
        </w:rPr>
        <w:t xml:space="preserve">Number of completed, abandoned, and expired projects</w:t>
      </w:r>
    </w:p>
    <w:p>
      <w:pPr>
        <w:pStyle w:val="ListParagraph"/>
        <w:numPr>
          <w:ilvl w:val="0"/>
          <w:numId w:val="2"/>
        </w:numPr>
        <w:spacing w:after="60"/>
      </w:pPr>
      <w:r>
        <w:rPr>
          <w:color w:val="16202E"/>
        </w:rPr>
        <w:t xml:space="preserve">Comparison with an optimal benchmark (the highest-alignment completable set)</w:t>
      </w:r>
    </w:p>
    <w:p>
      <w:pPr>
        <w:pStyle w:val="Heading2"/>
        <w:spacing w:after="120" w:before="320"/>
      </w:pPr>
      <w:r>
        <w:rPr>
          <w:rFonts w:ascii="Arial" w:cs="Arial" w:eastAsia="Arial" w:hAnsi="Arial"/>
          <w:b/>
          <w:bCs/>
          <w:color w:val="16202E"/>
          <w:sz w:val="28"/>
          <w:szCs w:val="28"/>
        </w:rPr>
        <w:t xml:space="preserve">10.2 Decision Timeline</w:t>
      </w:r>
    </w:p>
    <w:p>
      <w:pPr>
        <w:spacing w:after="120"/>
      </w:pPr>
      <w:r>
        <w:rPr>
          <w:color w:val="16202E"/>
        </w:rPr>
        <w:t xml:space="preserve">A visual dot-on-axis chart showing every action taken across the 60-month run. Each dot is coloured by action type and carries a symbol: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Symbol</w:t>
            </w:r>
          </w:p>
        </w:tc>
        <w:tc>
          <w:tcPr>
            <w:tcW w:type="dxa" w:w="30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Action</w:t>
            </w:r>
          </w:p>
        </w:tc>
        <w:tc>
          <w:tcPr>
            <w:tcW w:type="dxa" w:w="536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Colour</w:t>
            </w:r>
          </w:p>
        </w:tc>
      </w:tr>
      <w:tr>
        <w:tc>
          <w:tcPr>
            <w:tcW w:type="dxa" w:w="1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w:t>
            </w:r>
          </w:p>
        </w:tc>
        <w:tc>
          <w:tcPr>
            <w:tcW w:type="dxa" w:w="3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Add to portfolio</w:t>
            </w:r>
          </w:p>
        </w:tc>
        <w:tc>
          <w:tcPr>
            <w:tcW w:type="dxa" w:w="53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Green</w:t>
            </w:r>
          </w:p>
        </w:tc>
      </w:tr>
      <w:tr>
        <w:tc>
          <w:tcPr>
            <w:tcW w:type="dxa" w:w="1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w:t>
            </w:r>
          </w:p>
        </w:tc>
        <w:tc>
          <w:tcPr>
            <w:tcW w:type="dxa" w:w="3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Slow Down</w:t>
            </w:r>
          </w:p>
        </w:tc>
        <w:tc>
          <w:tcPr>
            <w:tcW w:type="dxa" w:w="53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Amber</w:t>
            </w:r>
          </w:p>
        </w:tc>
      </w:tr>
      <w:tr>
        <w:tc>
          <w:tcPr>
            <w:tcW w:type="dxa" w:w="1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w:t>
            </w:r>
          </w:p>
        </w:tc>
        <w:tc>
          <w:tcPr>
            <w:tcW w:type="dxa" w:w="3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Speed Up</w:t>
            </w:r>
          </w:p>
        </w:tc>
        <w:tc>
          <w:tcPr>
            <w:tcW w:type="dxa" w:w="53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Blue</w:t>
            </w:r>
          </w:p>
        </w:tc>
      </w:tr>
      <w:tr>
        <w:tc>
          <w:tcPr>
            <w:tcW w:type="dxa" w:w="1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w:t>
            </w:r>
          </w:p>
        </w:tc>
        <w:tc>
          <w:tcPr>
            <w:tcW w:type="dxa" w:w="3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Suspend</w:t>
            </w:r>
          </w:p>
        </w:tc>
        <w:tc>
          <w:tcPr>
            <w:tcW w:type="dxa" w:w="53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Amber</w:t>
            </w:r>
          </w:p>
        </w:tc>
      </w:tr>
      <w:tr>
        <w:tc>
          <w:tcPr>
            <w:tcW w:type="dxa" w:w="1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w:t>
            </w:r>
          </w:p>
        </w:tc>
        <w:tc>
          <w:tcPr>
            <w:tcW w:type="dxa" w:w="3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Resume</w:t>
            </w:r>
          </w:p>
        </w:tc>
        <w:tc>
          <w:tcPr>
            <w:tcW w:type="dxa" w:w="53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Blue</w:t>
            </w:r>
          </w:p>
        </w:tc>
      </w:tr>
      <w:tr>
        <w:tc>
          <w:tcPr>
            <w:tcW w:type="dxa" w:w="1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w:t>
            </w:r>
          </w:p>
        </w:tc>
        <w:tc>
          <w:tcPr>
            <w:tcW w:type="dxa" w:w="3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Abandon</w:t>
            </w:r>
          </w:p>
        </w:tc>
        <w:tc>
          <w:tcPr>
            <w:tcW w:type="dxa" w:w="53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Red</w:t>
            </w:r>
          </w:p>
        </w:tc>
      </w:tr>
    </w:tbl>
    <w:p>
      <w:pPr>
        <w:spacing w:after="120"/>
      </w:pPr>
      <w:r>
        <w:rPr>
          <w:color w:val="16202E"/>
        </w:rPr>
        <w:t xml:space="preserve">A toggle chip switches between the visual timeline view and a flat list view of all decisions.</w:t>
      </w:r>
    </w:p>
    <w:p>
      <w:pPr>
        <w:pStyle w:val="Heading2"/>
        <w:spacing w:after="120" w:before="320"/>
      </w:pPr>
      <w:r>
        <w:rPr>
          <w:rFonts w:ascii="Arial" w:cs="Arial" w:eastAsia="Arial" w:hAnsi="Arial"/>
          <w:b/>
          <w:bCs/>
          <w:color w:val="16202E"/>
          <w:sz w:val="28"/>
          <w:szCs w:val="28"/>
        </w:rPr>
        <w:t xml:space="preserve">10.3 Assessment</w:t>
      </w:r>
    </w:p>
    <w:p>
      <w:pPr>
        <w:spacing w:after="120"/>
      </w:pPr>
      <w:r>
        <w:rPr>
          <w:color w:val="16202E"/>
        </w:rPr>
        <w:t xml:space="preserve">Click the Assessment button to open a personalised feedback modal generated from rule-based analysis of your decisions. The assessment shows:</w:t>
      </w:r>
    </w:p>
    <w:p>
      <w:pPr>
        <w:pStyle w:val="ListParagraph"/>
        <w:numPr>
          <w:ilvl w:val="0"/>
          <w:numId w:val="2"/>
        </w:numPr>
        <w:spacing w:after="60"/>
      </w:pPr>
      <w:r>
        <w:rPr>
          <w:b/>
          <w:bCs/>
          <w:color w:val="16202E"/>
        </w:rPr>
        <w:t xml:space="preserve">Strengths</w:t>
      </w:r>
      <w:r>
        <w:rPr>
          <w:color w:val="16202E"/>
        </w:rPr>
        <w:t xml:space="preserve"> — decisions that positively contributed to your score</w:t>
      </w:r>
    </w:p>
    <w:p>
      <w:pPr>
        <w:pStyle w:val="ListParagraph"/>
        <w:numPr>
          <w:ilvl w:val="0"/>
          <w:numId w:val="2"/>
        </w:numPr>
        <w:spacing w:after="60"/>
      </w:pPr>
      <w:r>
        <w:rPr>
          <w:b/>
          <w:bCs/>
          <w:color w:val="16202E"/>
        </w:rPr>
        <w:t xml:space="preserve">Improvements</w:t>
      </w:r>
      <w:r>
        <w:rPr>
          <w:color w:val="16202E"/>
        </w:rPr>
        <w:t xml:space="preserve"> — patterns or decisions that reduced your score</w:t>
      </w:r>
    </w:p>
    <w:p>
      <w:pPr>
        <w:pStyle w:val="ListParagraph"/>
        <w:numPr>
          <w:ilvl w:val="0"/>
          <w:numId w:val="2"/>
        </w:numPr>
        <w:spacing w:after="60"/>
      </w:pPr>
      <w:r>
        <w:rPr>
          <w:b/>
          <w:bCs/>
          <w:color w:val="16202E"/>
        </w:rPr>
        <w:t xml:space="preserve">Key Insight</w:t>
      </w:r>
      <w:r>
        <w:rPr>
          <w:color w:val="16202E"/>
        </w:rPr>
        <w:t xml:space="preserve"> — the single most important learning from your run</w:t>
      </w:r>
    </w:p>
    <w:p>
      <w:pPr>
        <w:pStyle w:val="Heading2"/>
        <w:spacing w:after="120" w:before="320"/>
      </w:pPr>
      <w:r>
        <w:rPr>
          <w:rFonts w:ascii="Arial" w:cs="Arial" w:eastAsia="Arial" w:hAnsi="Arial"/>
          <w:b/>
          <w:bCs/>
          <w:color w:val="16202E"/>
          <w:sz w:val="28"/>
          <w:szCs w:val="28"/>
        </w:rPr>
        <w:t xml:space="preserve">10.4 Leaderboard Button</w:t>
      </w:r>
    </w:p>
    <w:p>
      <w:pPr>
        <w:spacing w:after="120"/>
      </w:pPr>
      <w:r>
        <w:rPr>
          <w:color w:val="16202E"/>
        </w:rPr>
        <w:t xml:space="preserve">Opens the leaderboard modal directly from the Debrief screen. Your current run is highlighted in the table so you can see where you rank.</w:t>
      </w:r>
    </w:p>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11. Leaderboard</w:t>
      </w:r>
    </w:p>
    <w:p>
      <w:pPr>
        <w:spacing w:after="120"/>
      </w:pPr>
      <w:r>
        <w:rPr>
          <w:color w:val="16202E"/>
        </w:rPr>
        <w:t xml:space="preserve">All completed runs are automatically saved to the browser’s local storage. The leaderboard is accessible from both the Setup Screen and the Debrief screen.</w:t>
      </w:r>
    </w:p>
    <w:p>
      <w:pPr>
        <w:pStyle w:val="Heading2"/>
        <w:spacing w:after="120" w:before="320"/>
      </w:pPr>
      <w:r>
        <w:rPr>
          <w:rFonts w:ascii="Arial" w:cs="Arial" w:eastAsia="Arial" w:hAnsi="Arial"/>
          <w:b/>
          <w:bCs/>
          <w:color w:val="16202E"/>
          <w:sz w:val="28"/>
          <w:szCs w:val="28"/>
        </w:rPr>
        <w:t xml:space="preserve">11.1 Tabs</w:t>
      </w:r>
    </w:p>
    <w:p>
      <w:pPr>
        <w:pStyle w:val="ListParagraph"/>
        <w:numPr>
          <w:ilvl w:val="0"/>
          <w:numId w:val="2"/>
        </w:numPr>
        <w:spacing w:after="60"/>
      </w:pPr>
      <w:r>
        <w:rPr>
          <w:b/>
          <w:bCs/>
          <w:color w:val="16202E"/>
        </w:rPr>
        <w:t xml:space="preserve">All</w:t>
      </w:r>
      <w:r>
        <w:rPr>
          <w:color w:val="16202E"/>
        </w:rPr>
        <w:t xml:space="preserve"> — every run across all presets, sorted by score (default when opening from Setup Screen). Shows a Mode column to identify the preset.</w:t>
      </w:r>
    </w:p>
    <w:p>
      <w:pPr>
        <w:pStyle w:val="ListParagraph"/>
        <w:numPr>
          <w:ilvl w:val="0"/>
          <w:numId w:val="2"/>
        </w:numPr>
        <w:spacing w:after="60"/>
      </w:pPr>
      <w:r>
        <w:rPr>
          <w:b/>
          <w:bCs/>
          <w:color w:val="16202E"/>
        </w:rPr>
        <w:t xml:space="preserve">Learning / Standard / Advanced / Custom</w:t>
      </w:r>
      <w:r>
        <w:rPr>
          <w:color w:val="16202E"/>
        </w:rPr>
        <w:t xml:space="preserve"> — run counts are shown in each chip. From the Debrief screen the tab defaults to your just-completed run’s preset.</w:t>
      </w:r>
    </w:p>
    <w:p>
      <w:pPr>
        <w:pStyle w:val="Heading2"/>
        <w:spacing w:after="120" w:before="320"/>
      </w:pPr>
      <w:r>
        <w:rPr>
          <w:rFonts w:ascii="Arial" w:cs="Arial" w:eastAsia="Arial" w:hAnsi="Arial"/>
          <w:b/>
          <w:bCs/>
          <w:color w:val="16202E"/>
          <w:sz w:val="28"/>
          <w:szCs w:val="28"/>
        </w:rPr>
        <w:t xml:space="preserve">11.2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Column</w:t>
            </w:r>
          </w:p>
        </w:tc>
        <w:tc>
          <w:tcPr>
            <w:tcW w:type="dxa" w:w="786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Description</w:t>
            </w:r>
          </w:p>
        </w:tc>
      </w:tr>
      <w:tr>
        <w:tc>
          <w:tcPr>
            <w:tcW w:type="dxa" w:w="15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w:t>
            </w:r>
          </w:p>
        </w:tc>
        <w:tc>
          <w:tcPr>
            <w:tcW w:type="dxa" w:w="78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Rank (trophy icons for top 3: gold, silver, bronze)</w:t>
            </w:r>
          </w:p>
        </w:tc>
      </w:tr>
      <w:tr>
        <w:tc>
          <w:tcPr>
            <w:tcW w:type="dxa" w:w="15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Player</w:t>
            </w:r>
          </w:p>
        </w:tc>
        <w:tc>
          <w:tcPr>
            <w:tcW w:type="dxa" w:w="78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Player name entered at setup</w:t>
            </w:r>
          </w:p>
        </w:tc>
      </w:tr>
      <w:tr>
        <w:tc>
          <w:tcPr>
            <w:tcW w:type="dxa" w:w="15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Run</w:t>
            </w:r>
          </w:p>
        </w:tc>
        <w:tc>
          <w:tcPr>
            <w:tcW w:type="dxa" w:w="78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Run name entered at setup</w:t>
            </w:r>
          </w:p>
        </w:tc>
      </w:tr>
      <w:tr>
        <w:tc>
          <w:tcPr>
            <w:tcW w:type="dxa" w:w="15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Mode</w:t>
            </w:r>
          </w:p>
        </w:tc>
        <w:tc>
          <w:tcPr>
            <w:tcW w:type="dxa" w:w="78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Preset used (shown in All tab only)</w:t>
            </w:r>
          </w:p>
        </w:tc>
      </w:tr>
      <w:tr>
        <w:tc>
          <w:tcPr>
            <w:tcW w:type="dxa" w:w="15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Score</w:t>
            </w:r>
          </w:p>
        </w:tc>
        <w:tc>
          <w:tcPr>
            <w:tcW w:type="dxa" w:w="78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Final composite score with performance band label</w:t>
            </w:r>
          </w:p>
        </w:tc>
      </w:tr>
      <w:tr>
        <w:tc>
          <w:tcPr>
            <w:tcW w:type="dxa" w:w="15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w:t>
            </w:r>
          </w:p>
        </w:tc>
        <w:tc>
          <w:tcPr>
            <w:tcW w:type="dxa" w:w="78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Number of completed projects</w:t>
            </w:r>
          </w:p>
        </w:tc>
      </w:tr>
      <w:tr>
        <w:tc>
          <w:tcPr>
            <w:tcW w:type="dxa" w:w="15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Date</w:t>
            </w:r>
          </w:p>
        </w:tc>
        <w:tc>
          <w:tcPr>
            <w:tcW w:type="dxa" w:w="78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Date the run was completed</w:t>
            </w:r>
          </w:p>
        </w:tc>
      </w:tr>
    </w:tbl>
    <w:p>
      <w:pPr>
        <w:spacing w:after="80"/>
      </w:pPr>
    </w:p>
    <w:p>
      <w:pPr>
        <w:pStyle w:val="Heading2"/>
        <w:spacing w:after="120" w:before="320"/>
      </w:pPr>
      <w:r>
        <w:rPr>
          <w:rFonts w:ascii="Arial" w:cs="Arial" w:eastAsia="Arial" w:hAnsi="Arial"/>
          <w:b/>
          <w:bCs/>
          <w:color w:val="16202E"/>
          <w:sz w:val="28"/>
          <w:szCs w:val="28"/>
        </w:rPr>
        <w:t xml:space="preserve">11.3 Persistence</w:t>
      </w:r>
    </w:p>
    <w:p>
      <w:pPr>
        <w:spacing w:after="120"/>
      </w:pPr>
      <w:r>
        <w:rPr>
          <w:color w:val="16202E"/>
        </w:rPr>
        <w:t xml:space="preserve">Leaderboard data is stored in the browser’s localStorage under the key </w:t>
      </w:r>
      <w:r>
        <w:rPr>
          <w:rFonts w:ascii="Courier New" w:cs="Courier New" w:eastAsia="Courier New" w:hAnsi="Courier New"/>
          <w:color w:val="4F46E5"/>
          <w:sz w:val="20"/>
          <w:szCs w:val="20"/>
        </w:rPr>
        <w:t xml:space="preserve">portfolio_sim_leaderboard_v1</w:t>
      </w:r>
      <w:r>
        <w:rPr>
          <w:color w:val="16202E"/>
        </w:rPr>
        <w:t xml:space="preserve">. Up to 500 entries are retained. Clearing browser data or using a different browser will start a fresh leaderboard.</w:t>
      </w:r>
    </w:p>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12. Built-In Rules Reference</w:t>
      </w:r>
    </w:p>
    <w:p>
      <w:pPr>
        <w:spacing w:after="120"/>
      </w:pPr>
      <w:r>
        <w:rPr>
          <w:color w:val="16202E"/>
        </w:rPr>
        <w:t xml:space="preserve">At any time during setup or during the simulation, click How to Play to open the in-app rules modal. It covers the same content as this manual across six tabs: Objective, Projects, Actions, Funding, Risk, and Scoring. This is useful as a quick in-session reference without leaving the application.</w:t>
      </w:r>
    </w:p>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13. Tips and Strategy</w:t>
      </w:r>
    </w:p>
    <w:p>
      <w:pPr>
        <w:pStyle w:val="Heading2"/>
        <w:spacing w:after="120" w:before="320"/>
      </w:pPr>
      <w:r>
        <w:rPr>
          <w:rFonts w:ascii="Arial" w:cs="Arial" w:eastAsia="Arial" w:hAnsi="Arial"/>
          <w:b/>
          <w:bCs/>
          <w:color w:val="16202E"/>
          <w:sz w:val="28"/>
          <w:szCs w:val="28"/>
        </w:rPr>
        <w:t xml:space="preserve">13.1 Early Game (Months 1–15)</w:t>
      </w:r>
    </w:p>
    <w:p>
      <w:pPr>
        <w:pStyle w:val="ListParagraph"/>
        <w:numPr>
          <w:ilvl w:val="0"/>
          <w:numId w:val="2"/>
        </w:numPr>
        <w:spacing w:after="60"/>
      </w:pPr>
      <w:r>
        <w:rPr>
          <w:color w:val="16202E"/>
        </w:rPr>
        <w:t xml:space="preserve">Start your highest-alignment, most affordable projects immediately — inflation makes delay expensive</w:t>
      </w:r>
    </w:p>
    <w:p>
      <w:pPr>
        <w:pStyle w:val="ListParagraph"/>
        <w:numPr>
          <w:ilvl w:val="0"/>
          <w:numId w:val="2"/>
        </w:numPr>
        <w:spacing w:after="60"/>
      </w:pPr>
      <w:r>
        <w:rPr>
          <w:color w:val="16202E"/>
        </w:rPr>
        <w:t xml:space="preserve">Use the Quick-Add strip to identify the three best candidates without scrolling</w:t>
      </w:r>
    </w:p>
    <w:p>
      <w:pPr>
        <w:pStyle w:val="ListParagraph"/>
        <w:numPr>
          <w:ilvl w:val="0"/>
          <w:numId w:val="2"/>
        </w:numPr>
        <w:spacing w:after="60"/>
      </w:pPr>
      <w:r>
        <w:rPr>
          <w:color w:val="16202E"/>
        </w:rPr>
        <w:t xml:space="preserve">Check the Cash Flow tab before each advance to confirm the selected projects fit within quarterly release capacity</w:t>
      </w:r>
    </w:p>
    <w:p>
      <w:pPr>
        <w:pStyle w:val="ListParagraph"/>
        <w:numPr>
          <w:ilvl w:val="0"/>
          <w:numId w:val="2"/>
        </w:numPr>
        <w:spacing w:after="60"/>
      </w:pPr>
      <w:r>
        <w:rPr>
          <w:color w:val="16202E"/>
        </w:rPr>
        <w:t xml:space="preserve">Avoid adding projects with a planned duration that would push completion beyond Month 55 unless you plan to speed them up later</w:t>
      </w:r>
    </w:p>
    <w:p>
      <w:pPr>
        <w:pStyle w:val="ListParagraph"/>
        <w:numPr>
          <w:ilvl w:val="0"/>
          <w:numId w:val="2"/>
        </w:numPr>
        <w:spacing w:after="60"/>
      </w:pPr>
      <w:r>
        <w:rPr>
          <w:color w:val="16202E"/>
        </w:rPr>
        <w:t xml:space="preserve">If political projects are present, review their remaining cost and alignment — they cannot be abandoned until Month 24</w:t>
      </w:r>
    </w:p>
    <w:p>
      <w:pPr>
        <w:spacing w:after="80"/>
      </w:pPr>
    </w:p>
    <w:p>
      <w:pPr>
        <w:pStyle w:val="Heading2"/>
        <w:spacing w:after="120" w:before="320"/>
      </w:pPr>
      <w:r>
        <w:rPr>
          <w:rFonts w:ascii="Arial" w:cs="Arial" w:eastAsia="Arial" w:hAnsi="Arial"/>
          <w:b/>
          <w:bCs/>
          <w:color w:val="16202E"/>
          <w:sz w:val="28"/>
          <w:szCs w:val="28"/>
        </w:rPr>
        <w:t xml:space="preserve">13.2 Mid-Game (Months 16–40)</w:t>
      </w:r>
    </w:p>
    <w:p>
      <w:pPr>
        <w:pStyle w:val="ListParagraph"/>
        <w:numPr>
          <w:ilvl w:val="0"/>
          <w:numId w:val="2"/>
        </w:numPr>
        <w:spacing w:after="60"/>
      </w:pPr>
      <w:r>
        <w:rPr>
          <w:color w:val="16202E"/>
        </w:rPr>
        <w:t xml:space="preserve">Risk events peak in the mid-game when most projects are hitting their 50% milestone. Keep a buffer of at least one to two quarterly releases.</w:t>
      </w:r>
    </w:p>
    <w:p>
      <w:pPr>
        <w:pStyle w:val="ListParagraph"/>
        <w:numPr>
          <w:ilvl w:val="0"/>
          <w:numId w:val="2"/>
        </w:numPr>
        <w:spacing w:after="60"/>
      </w:pPr>
      <w:r>
        <w:rPr>
          <w:color w:val="16202E"/>
        </w:rPr>
        <w:t xml:space="preserve">Use Slow Down proactively on lower-priority projects if the Cash Flow chart shows the red line approaching the green line</w:t>
      </w:r>
    </w:p>
    <w:p>
      <w:pPr>
        <w:pStyle w:val="ListParagraph"/>
        <w:numPr>
          <w:ilvl w:val="0"/>
          <w:numId w:val="2"/>
        </w:numPr>
        <w:spacing w:after="60"/>
      </w:pPr>
      <w:r>
        <w:rPr>
          <w:color w:val="16202E"/>
        </w:rPr>
        <w:t xml:space="preserve">Avoid adding new projects after Month 36 unless their planned duration is 24 months or less — they will not complete before Month 60</w:t>
      </w:r>
    </w:p>
    <w:p>
      <w:pPr>
        <w:pStyle w:val="ListParagraph"/>
        <w:numPr>
          <w:ilvl w:val="0"/>
          <w:numId w:val="2"/>
        </w:numPr>
        <w:spacing w:after="60"/>
      </w:pPr>
      <w:r>
        <w:rPr>
          <w:color w:val="16202E"/>
        </w:rPr>
        <w:t xml:space="preserve">Watch the Gantt tab for projects whose bars extend into the red danger zone (Months 49–60)</w:t>
      </w:r>
    </w:p>
    <w:p>
      <w:pPr>
        <w:spacing w:after="80"/>
      </w:pPr>
    </w:p>
    <w:p>
      <w:pPr>
        <w:pStyle w:val="Heading2"/>
        <w:spacing w:after="120" w:before="320"/>
      </w:pPr>
      <w:r>
        <w:rPr>
          <w:rFonts w:ascii="Arial" w:cs="Arial" w:eastAsia="Arial" w:hAnsi="Arial"/>
          <w:b/>
          <w:bCs/>
          <w:color w:val="16202E"/>
          <w:sz w:val="28"/>
          <w:szCs w:val="28"/>
        </w:rPr>
        <w:t xml:space="preserve">13.3 Late Game (Months 41–60)</w:t>
      </w:r>
    </w:p>
    <w:p>
      <w:pPr>
        <w:pStyle w:val="ListParagraph"/>
        <w:numPr>
          <w:ilvl w:val="0"/>
          <w:numId w:val="2"/>
        </w:numPr>
        <w:spacing w:after="60"/>
      </w:pPr>
      <w:r>
        <w:rPr>
          <w:color w:val="16202E"/>
        </w:rPr>
        <w:t xml:space="preserve">Do not start new projects after Month 36 unless the duration is very short</w:t>
      </w:r>
    </w:p>
    <w:p>
      <w:pPr>
        <w:pStyle w:val="ListParagraph"/>
        <w:numPr>
          <w:ilvl w:val="0"/>
          <w:numId w:val="2"/>
        </w:numPr>
        <w:spacing w:after="60"/>
      </w:pPr>
      <w:r>
        <w:rPr>
          <w:color w:val="16202E"/>
        </w:rPr>
        <w:t xml:space="preserve">Use Speed Up sparingly on near-complete projects that are at risk of expiry — calculate whether the completion credit outweighs the crash premium</w:t>
      </w:r>
    </w:p>
    <w:p>
      <w:pPr>
        <w:pStyle w:val="ListParagraph"/>
        <w:numPr>
          <w:ilvl w:val="0"/>
          <w:numId w:val="2"/>
        </w:numPr>
        <w:spacing w:after="60"/>
      </w:pPr>
      <w:r>
        <w:rPr>
          <w:color w:val="16202E"/>
        </w:rPr>
        <w:t xml:space="preserve">Suspend projects you cannot complete before Month 60 — avoiding the -1 expired penalty is better than drawing down cash on projects that will not finish</w:t>
      </w:r>
    </w:p>
    <w:p>
      <w:pPr>
        <w:pStyle w:val="ListParagraph"/>
        <w:numPr>
          <w:ilvl w:val="0"/>
          <w:numId w:val="2"/>
        </w:numPr>
        <w:spacing w:after="60"/>
      </w:pPr>
      <w:r>
        <w:rPr>
          <w:color w:val="16202E"/>
        </w:rPr>
        <w:t xml:space="preserve">Aim to deploy surplus cash rather than hold it — unspent funds reduce Budget Efficiency</w:t>
      </w:r>
    </w:p>
    <w:p>
      <w:pPr>
        <w:spacing w:after="80"/>
      </w:pPr>
    </w:p>
    <w:p>
      <w:pPr>
        <w:pStyle w:val="Heading2"/>
        <w:spacing w:after="120" w:before="320"/>
      </w:pPr>
      <w:r>
        <w:rPr>
          <w:rFonts w:ascii="Arial" w:cs="Arial" w:eastAsia="Arial" w:hAnsi="Arial"/>
          <w:b/>
          <w:bCs/>
          <w:color w:val="16202E"/>
          <w:sz w:val="28"/>
          <w:szCs w:val="28"/>
        </w:rPr>
        <w:t xml:space="preserve">13.4 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W w:type="dxa" w:w="26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Mistake</w:t>
            </w:r>
          </w:p>
        </w:tc>
        <w:tc>
          <w:tcPr>
            <w:tcW w:type="dxa" w:w="30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Consequence</w:t>
            </w:r>
          </w:p>
        </w:tc>
        <w:tc>
          <w:tcPr>
            <w:tcW w:type="dxa" w:w="376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Prevention</w:t>
            </w:r>
          </w:p>
        </w:tc>
      </w:tr>
      <w:tr>
        <w:tc>
          <w:tcPr>
            <w:tcW w:type="dxa" w:w="26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Adding too many projects at once</w:t>
            </w:r>
          </w:p>
        </w:tc>
        <w:tc>
          <w:tcPr>
            <w:tcW w:type="dxa" w:w="3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Monthly demand spikes beyond quarterly release, triggering forced shortfall</w:t>
            </w:r>
          </w:p>
        </w:tc>
        <w:tc>
          <w:tcPr>
            <w:tcW w:type="dxa" w:w="37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Use Project Preview before each addition to check cash flow impact</w:t>
            </w:r>
          </w:p>
        </w:tc>
      </w:tr>
      <w:tr>
        <w:tc>
          <w:tcPr>
            <w:tcW w:type="dxa" w:w="26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Ignoring inflation</w:t>
            </w:r>
          </w:p>
        </w:tc>
        <w:tc>
          <w:tcPr>
            <w:tcW w:type="dxa" w:w="3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High-alignment projects become unaffordable by Month 20</w:t>
            </w:r>
          </w:p>
        </w:tc>
        <w:tc>
          <w:tcPr>
            <w:tcW w:type="dxa" w:w="37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Add preferred projects in the first 10 months</w:t>
            </w:r>
          </w:p>
        </w:tc>
      </w:tr>
      <w:tr>
        <w:tc>
          <w:tcPr>
            <w:tcW w:type="dxa" w:w="26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Abandoning projects above 40% complete</w:t>
            </w:r>
          </w:p>
        </w:tc>
        <w:tc>
          <w:tcPr>
            <w:tcW w:type="dxa" w:w="3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Sunk cost + 2-point penalty exceeds remaining completion cost</w:t>
            </w:r>
          </w:p>
        </w:tc>
        <w:tc>
          <w:tcPr>
            <w:tcW w:type="dxa" w:w="37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Check progress badge before abandoning; prefer Suspend or Slow</w:t>
            </w:r>
          </w:p>
        </w:tc>
      </w:tr>
      <w:tr>
        <w:tc>
          <w:tcPr>
            <w:tcW w:type="dxa" w:w="26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Holding large unspent balance late</w:t>
            </w:r>
          </w:p>
        </w:tc>
        <w:tc>
          <w:tcPr>
            <w:tcW w:type="dxa" w:w="3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Budget Efficiency score drops — idle cash is penalised</w:t>
            </w:r>
          </w:p>
        </w:tc>
        <w:tc>
          <w:tcPr>
            <w:tcW w:type="dxa" w:w="37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Deploy cash into completable high-alignment projects</w:t>
            </w:r>
          </w:p>
        </w:tc>
      </w:tr>
      <w:tr>
        <w:tc>
          <w:tcPr>
            <w:tcW w:type="dxa" w:w="26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Not checking Cash Flow after risk events</w:t>
            </w:r>
          </w:p>
        </w:tc>
        <w:tc>
          <w:tcPr>
            <w:tcW w:type="dxa" w:w="3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Undetected shortfall forces abandonment in a later month</w:t>
            </w:r>
          </w:p>
        </w:tc>
        <w:tc>
          <w:tcPr>
            <w:tcW w:type="dxa" w:w="37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Switch to Cash Flow tab immediately after every alert</w:t>
            </w:r>
          </w:p>
        </w:tc>
      </w:tr>
      <w:tr>
        <w:tc>
          <w:tcPr>
            <w:tcW w:type="dxa" w:w="26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Speeding up projects early</w:t>
            </w:r>
          </w:p>
        </w:tc>
        <w:tc>
          <w:tcPr>
            <w:tcW w:type="dxa" w:w="3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Crash premium is proportional to remaining budget — very expensive early</w:t>
            </w:r>
          </w:p>
        </w:tc>
        <w:tc>
          <w:tcPr>
            <w:tcW w:type="dxa" w:w="37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Reserve Speed Up for near-complete projects in the last 10 months</w:t>
            </w:r>
          </w:p>
        </w:tc>
      </w:tr>
    </w:tbl>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Term</w:t>
            </w:r>
          </w:p>
        </w:tc>
        <w:tc>
          <w:tcPr>
            <w:tcW w:type="dxa" w:w="716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Definition</w:t>
            </w:r>
          </w:p>
        </w:tc>
      </w:tr>
      <w:tr>
        <w:tc>
          <w:tcPr>
            <w:tcW w:type="dxa" w:w="22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BAC</w:t>
            </w:r>
          </w:p>
        </w:tc>
        <w:tc>
          <w:tcPr>
            <w:tcW w:type="dxa" w:w="71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Budget at Completion — the current total cost forecast for a project, adjusted for inflation and any risk-driven BAC changes.</w:t>
            </w:r>
          </w:p>
        </w:tc>
      </w:tr>
      <w:tr>
        <w:tc>
          <w:tcPr>
            <w:tcW w:type="dxa" w:w="22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S-curve</w:t>
            </w:r>
          </w:p>
        </w:tc>
        <w:tc>
          <w:tcPr>
            <w:tcW w:type="dxa" w:w="71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The natural spending pattern for capital projects: slow start, fast mid-section, tapering finish. Modelled here using a Beta(2,2) distribution.</w:t>
            </w:r>
          </w:p>
        </w:tc>
      </w:tr>
      <w:tr>
        <w:tc>
          <w:tcPr>
            <w:tcW w:type="dxa" w:w="22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Quarterly release</w:t>
            </w:r>
          </w:p>
        </w:tc>
        <w:tc>
          <w:tcPr>
            <w:tcW w:type="dxa" w:w="71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The funding tranche released at the start of every third month (M1, M4, M7…M58). Unused amounts carry forward.</w:t>
            </w:r>
          </w:p>
        </w:tc>
      </w:tr>
      <w:tr>
        <w:tc>
          <w:tcPr>
            <w:tcW w:type="dxa" w:w="22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Shortfall</w:t>
            </w:r>
          </w:p>
        </w:tc>
        <w:tc>
          <w:tcPr>
            <w:tcW w:type="dxa" w:w="71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When total active project demand in a month exceeds the available balance. Must be resolved before advancing.</w:t>
            </w:r>
          </w:p>
        </w:tc>
      </w:tr>
      <w:tr>
        <w:tc>
          <w:tcPr>
            <w:tcW w:type="dxa" w:w="22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Political project</w:t>
            </w:r>
          </w:p>
        </w:tc>
        <w:tc>
          <w:tcPr>
            <w:tcW w:type="dxa" w:w="71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 project forced into the active portfolio at Month 1 that cannot be abandoned before Month 24. Represents mandated government commitments.</w:t>
            </w:r>
          </w:p>
        </w:tc>
      </w:tr>
      <w:tr>
        <w:tc>
          <w:tcPr>
            <w:tcW w:type="dxa" w:w="22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Crash premium</w:t>
            </w:r>
          </w:p>
        </w:tc>
        <w:tc>
          <w:tcPr>
            <w:tcW w:type="dxa" w:w="71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The additional cost incurred when compressing a project’s duration. Equal to 50% x compression factor x remaining budget.</w:t>
            </w:r>
          </w:p>
        </w:tc>
      </w:tr>
      <w:tr>
        <w:tc>
          <w:tcPr>
            <w:tcW w:type="dxa" w:w="22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Approval lag</w:t>
            </w:r>
          </w:p>
        </w:tc>
        <w:tc>
          <w:tcPr>
            <w:tcW w:type="dxa" w:w="71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 configured delay (1–3 months) between adding a project and it becoming active. Projects in the lag period show as Pending.</w:t>
            </w:r>
          </w:p>
        </w:tc>
      </w:tr>
      <w:tr>
        <w:tc>
          <w:tcPr>
            <w:tcW w:type="dxa" w:w="22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Milestone</w:t>
            </w:r>
          </w:p>
        </w:tc>
        <w:tc>
          <w:tcPr>
            <w:tcW w:type="dxa" w:w="71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 risk checkpoint at 25%, 50%, or 75% of a project’s BAC. At each milestone the simulator independently rolls for cost and duration shocks.</w:t>
            </w:r>
          </w:p>
        </w:tc>
      </w:tr>
      <w:tr>
        <w:tc>
          <w:tcPr>
            <w:tcW w:type="dxa" w:w="22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Expired</w:t>
            </w:r>
          </w:p>
        </w:tc>
        <w:tc>
          <w:tcPr>
            <w:tcW w:type="dxa" w:w="71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 project still active or suspended at the end of Month 60 that has not completed. Incurs a -1 score penalty.</w:t>
            </w:r>
          </w:p>
        </w:tc>
      </w:tr>
      <w:tr>
        <w:tc>
          <w:tcPr>
            <w:tcW w:type="dxa" w:w="22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Abandoned</w:t>
            </w:r>
          </w:p>
        </w:tc>
        <w:tc>
          <w:tcPr>
            <w:tcW w:type="dxa" w:w="71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 project permanently removed from the portfolio. Incurs a -2 score penalty.</w:t>
            </w:r>
          </w:p>
        </w:tc>
      </w:tr>
      <w:tr>
        <w:tc>
          <w:tcPr>
            <w:tcW w:type="dxa" w:w="22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Available balance</w:t>
            </w:r>
          </w:p>
        </w:tc>
        <w:tc>
          <w:tcPr>
            <w:tcW w:type="dxa" w:w="71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The cumulative total of all quarterly releases received to date, minus all cash drawn by active projects to date.</w:t>
            </w:r>
          </w:p>
        </w:tc>
      </w:tr>
      <w:tr>
        <w:tc>
          <w:tcPr>
            <w:tcW w:type="dxa" w:w="22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Budget Efficiency</w:t>
            </w:r>
          </w:p>
        </w:tc>
        <w:tc>
          <w:tcPr>
            <w:tcW w:type="dxa" w:w="71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Score component measuring how well cash was deployed — penalises both sunk costs (abandoned projects) and unspent funds.</w:t>
            </w:r>
          </w:p>
        </w:tc>
      </w:tr>
    </w:tbl>
    <w:p>
      <w:pPr>
        <w:spacing w:after="160"/>
      </w:pPr>
    </w:p>
    <w:p>
      <w:pPr>
        <w:pStyle w:val="Heading1"/>
        <w:pageBreakBefore/>
        <w:pBdr>
          <w:bottom w:val="single" w:color="4F46E5" w:sz="8" w:space="6"/>
        </w:pBdr>
        <w:spacing w:after="240" w:before="0"/>
      </w:pPr>
      <w:r>
        <w:rPr>
          <w:rFonts w:ascii="Arial" w:cs="Arial" w:eastAsia="Arial" w:hAnsi="Arial"/>
          <w:b/>
          <w:bCs/>
          <w:color w:val="4F46E5"/>
          <w:sz w:val="36"/>
          <w:szCs w:val="36"/>
        </w:rPr>
        <w:t xml:space="preserve">15. Quick Reference Card</w:t>
      </w:r>
    </w:p>
    <w:p>
      <w:pPr>
        <w:pStyle w:val="Heading2"/>
        <w:spacing w:after="120" w:before="320"/>
      </w:pPr>
      <w:r>
        <w:rPr>
          <w:rFonts w:ascii="Arial" w:cs="Arial" w:eastAsia="Arial" w:hAnsi="Arial"/>
          <w:b/>
          <w:bCs/>
          <w:color w:val="16202E"/>
          <w:sz w:val="28"/>
          <w:szCs w:val="28"/>
        </w:rPr>
        <w:t xml:space="preserve">15.1 Header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Control</w:t>
            </w:r>
          </w:p>
        </w:tc>
        <w:tc>
          <w:tcPr>
            <w:tcW w:type="dxa" w:w="656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Action</w:t>
            </w:r>
          </w:p>
        </w:tc>
      </w:tr>
      <w:tr>
        <w:tc>
          <w:tcPr>
            <w:tcW w:type="dxa" w:w="2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Quarter timeline</w:t>
            </w:r>
          </w:p>
        </w:tc>
        <w:tc>
          <w:tcPr>
            <w:tcW w:type="dxa" w:w="65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Visual overview of the 60-month horizon. Red segments = danger zone (Months 49–60).</w:t>
            </w:r>
          </w:p>
        </w:tc>
      </w:tr>
      <w:tr>
        <w:tc>
          <w:tcPr>
            <w:tcW w:type="dxa" w:w="2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Available balance</w:t>
            </w:r>
          </w:p>
        </w:tc>
        <w:tc>
          <w:tcPr>
            <w:tcW w:type="dxa" w:w="65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Current cash on hand.</w:t>
            </w:r>
          </w:p>
        </w:tc>
      </w:tr>
      <w:tr>
        <w:tc>
          <w:tcPr>
            <w:tcW w:type="dxa" w:w="2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Advance (blue)</w:t>
            </w:r>
          </w:p>
        </w:tc>
        <w:tc>
          <w:tcPr>
            <w:tcW w:type="dxa" w:w="65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Monthly demand &lt; 80% of available — comfortable to advance.</w:t>
            </w:r>
          </w:p>
        </w:tc>
      </w:tr>
      <w:tr>
        <w:tc>
          <w:tcPr>
            <w:tcW w:type="dxa" w:w="2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Advance (amber)</w:t>
            </w:r>
          </w:p>
        </w:tc>
        <w:tc>
          <w:tcPr>
            <w:tcW w:type="dxa" w:w="65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Monthly demand is 80–100% of available — tight but feasible.</w:t>
            </w:r>
          </w:p>
        </w:tc>
      </w:tr>
      <w:tr>
        <w:tc>
          <w:tcPr>
            <w:tcW w:type="dxa" w:w="2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Advance (red)</w:t>
            </w:r>
          </w:p>
        </w:tc>
        <w:tc>
          <w:tcPr>
            <w:tcW w:type="dxa" w:w="65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Monthly demand exceeds available — shortfall resolution required.</w:t>
            </w:r>
          </w:p>
        </w:tc>
      </w:tr>
      <w:tr>
        <w:tc>
          <w:tcPr>
            <w:tcW w:type="dxa" w:w="2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Hover over Advance</w:t>
            </w:r>
          </w:p>
        </w:tc>
        <w:tc>
          <w:tcPr>
            <w:tcW w:type="dxa" w:w="65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Shows demand preview: this month’s draw, available balance, and net surplus/deficit.</w:t>
            </w:r>
          </w:p>
        </w:tc>
      </w:tr>
      <w:tr>
        <w:tc>
          <w:tcPr>
            <w:tcW w:type="dxa" w:w="2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 Overflow</w:t>
            </w:r>
          </w:p>
        </w:tc>
        <w:tc>
          <w:tcPr>
            <w:tcW w:type="dxa" w:w="65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Access Portfolio Report.</w:t>
            </w:r>
          </w:p>
        </w:tc>
      </w:tr>
    </w:tbl>
    <w:p>
      <w:pPr>
        <w:spacing w:after="80"/>
      </w:pPr>
    </w:p>
    <w:p>
      <w:pPr>
        <w:pStyle w:val="Heading2"/>
        <w:spacing w:after="120" w:before="320"/>
      </w:pPr>
      <w:r>
        <w:rPr>
          <w:rFonts w:ascii="Arial" w:cs="Arial" w:eastAsia="Arial" w:hAnsi="Arial"/>
          <w:b/>
          <w:bCs/>
          <w:color w:val="16202E"/>
          <w:sz w:val="28"/>
          <w:szCs w:val="28"/>
        </w:rPr>
        <w:t xml:space="preserve">15.2 Project States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State</w:t>
            </w:r>
          </w:p>
        </w:tc>
        <w:tc>
          <w:tcPr>
            <w:tcW w:type="dxa" w:w="18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Cash Draw</w:t>
            </w:r>
          </w:p>
        </w:tc>
        <w:tc>
          <w:tcPr>
            <w:tcW w:type="dxa" w:w="200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BAC Inflation</w:t>
            </w:r>
          </w:p>
        </w:tc>
        <w:tc>
          <w:tcPr>
            <w:tcW w:type="dxa" w:w="3760"/>
            <w:tcBorders>
              <w:top w:val="single" w:color="D6DEEA" w:sz="1"/>
              <w:left w:val="single" w:color="D6DEEA" w:sz="1"/>
              <w:bottom w:val="single" w:color="D6DEEA" w:sz="1"/>
              <w:right w:val="single" w:color="D6DEEA" w:sz="1"/>
            </w:tcBorders>
            <w:shd w:fill="4F46E5" w:val="clear"/>
            <w:tcMar>
              <w:top w:type="dxa" w:w="100"/>
              <w:left w:type="dxa" w:w="140"/>
              <w:bottom w:type="dxa" w:w="100"/>
              <w:right w:type="dxa" w:w="140"/>
            </w:tcMar>
          </w:tcPr>
          <w:p>
            <w:pPr>
              <w:spacing w:after="0"/>
            </w:pPr>
            <w:r>
              <w:rPr>
                <w:b/>
                <w:bCs/>
                <w:color w:val="FFFFFF"/>
                <w:sz w:val="20"/>
                <w:szCs w:val="20"/>
              </w:rPr>
              <w:t xml:space="preserve">Score Impact</w:t>
            </w:r>
          </w:p>
        </w:tc>
      </w:tr>
      <w:tr>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Available</w:t>
            </w:r>
          </w:p>
        </w:tc>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None</w:t>
            </w:r>
          </w:p>
        </w:tc>
        <w:tc>
          <w:tcPr>
            <w:tcW w:type="dxa" w:w="2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Yes (monthly)</w:t>
            </w:r>
          </w:p>
        </w:tc>
        <w:tc>
          <w:tcPr>
            <w:tcW w:type="dxa" w:w="37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None</w:t>
            </w:r>
          </w:p>
        </w:tc>
      </w:tr>
      <w:tr>
        <w:tc>
          <w:tcPr>
            <w:tcW w:type="dxa" w:w="1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Pending</w:t>
            </w:r>
          </w:p>
        </w:tc>
        <w:tc>
          <w:tcPr>
            <w:tcW w:type="dxa" w:w="1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None</w:t>
            </w:r>
          </w:p>
        </w:tc>
        <w:tc>
          <w:tcPr>
            <w:tcW w:type="dxa" w:w="2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No (BAC locked)</w:t>
            </w:r>
          </w:p>
        </w:tc>
        <w:tc>
          <w:tcPr>
            <w:tcW w:type="dxa" w:w="37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None</w:t>
            </w:r>
          </w:p>
        </w:tc>
      </w:tr>
      <w:tr>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Active</w:t>
            </w:r>
          </w:p>
        </w:tc>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S-curve monthly</w:t>
            </w:r>
          </w:p>
        </w:tc>
        <w:tc>
          <w:tcPr>
            <w:tcW w:type="dxa" w:w="2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No (BAC locked)</w:t>
            </w:r>
          </w:p>
        </w:tc>
        <w:tc>
          <w:tcPr>
            <w:tcW w:type="dxa" w:w="37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Completes = +Delivery score</w:t>
            </w:r>
          </w:p>
        </w:tc>
      </w:tr>
      <w:tr>
        <w:tc>
          <w:tcPr>
            <w:tcW w:type="dxa" w:w="1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Suspended</w:t>
            </w:r>
          </w:p>
        </w:tc>
        <w:tc>
          <w:tcPr>
            <w:tcW w:type="dxa" w:w="1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None</w:t>
            </w:r>
          </w:p>
        </w:tc>
        <w:tc>
          <w:tcPr>
            <w:tcW w:type="dxa" w:w="2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Yes (remaining cost)</w:t>
            </w:r>
          </w:p>
        </w:tc>
        <w:tc>
          <w:tcPr>
            <w:tcW w:type="dxa" w:w="37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None while suspended</w:t>
            </w:r>
          </w:p>
        </w:tc>
      </w:tr>
      <w:tr>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Completed</w:t>
            </w:r>
          </w:p>
        </w:tc>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None</w:t>
            </w:r>
          </w:p>
        </w:tc>
        <w:tc>
          <w:tcPr>
            <w:tcW w:type="dxa" w:w="2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Not applicable</w:t>
            </w:r>
          </w:p>
        </w:tc>
        <w:tc>
          <w:tcPr>
            <w:tcW w:type="dxa" w:w="37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+Delivery and +Alignment</w:t>
            </w:r>
          </w:p>
        </w:tc>
      </w:tr>
      <w:tr>
        <w:tc>
          <w:tcPr>
            <w:tcW w:type="dxa" w:w="1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Abandoned</w:t>
            </w:r>
          </w:p>
        </w:tc>
        <w:tc>
          <w:tcPr>
            <w:tcW w:type="dxa" w:w="18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None</w:t>
            </w:r>
          </w:p>
        </w:tc>
        <w:tc>
          <w:tcPr>
            <w:tcW w:type="dxa" w:w="200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Not applicable</w:t>
            </w:r>
          </w:p>
        </w:tc>
        <w:tc>
          <w:tcPr>
            <w:tcW w:type="dxa" w:w="3760"/>
            <w:tcBorders>
              <w:top w:val="single" w:color="D6DEEA" w:sz="1"/>
              <w:left w:val="single" w:color="D6DEEA" w:sz="1"/>
              <w:bottom w:val="single" w:color="D6DEEA" w:sz="1"/>
              <w:right w:val="single" w:color="D6DEEA" w:sz="1"/>
            </w:tcBorders>
            <w:shd w:fill="F4F6FB" w:val="clear"/>
            <w:tcMar>
              <w:top w:type="dxa" w:w="100"/>
              <w:left w:type="dxa" w:w="140"/>
              <w:bottom w:type="dxa" w:w="100"/>
              <w:right w:type="dxa" w:w="140"/>
            </w:tcMar>
          </w:tcPr>
          <w:p>
            <w:pPr>
              <w:spacing w:after="0"/>
            </w:pPr>
            <w:r>
              <w:rPr>
                <w:color w:val="16202E"/>
                <w:sz w:val="20"/>
                <w:szCs w:val="20"/>
              </w:rPr>
              <w:t xml:space="preserve">-2 points; sunk cost lost</w:t>
            </w:r>
          </w:p>
        </w:tc>
      </w:tr>
      <w:tr>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Expired</w:t>
            </w:r>
          </w:p>
        </w:tc>
        <w:tc>
          <w:tcPr>
            <w:tcW w:type="dxa" w:w="18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None</w:t>
            </w:r>
          </w:p>
        </w:tc>
        <w:tc>
          <w:tcPr>
            <w:tcW w:type="dxa" w:w="200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Not applicable</w:t>
            </w:r>
          </w:p>
        </w:tc>
        <w:tc>
          <w:tcPr>
            <w:tcW w:type="dxa" w:w="3760"/>
            <w:tcBorders>
              <w:top w:val="single" w:color="D6DEEA" w:sz="1"/>
              <w:left w:val="single" w:color="D6DEEA" w:sz="1"/>
              <w:bottom w:val="single" w:color="D6DEEA" w:sz="1"/>
              <w:right w:val="single" w:color="D6DEEA" w:sz="1"/>
            </w:tcBorders>
            <w:shd w:fill="FFFFFF" w:val="clear"/>
            <w:tcMar>
              <w:top w:type="dxa" w:w="100"/>
              <w:left w:type="dxa" w:w="140"/>
              <w:bottom w:type="dxa" w:w="100"/>
              <w:right w:type="dxa" w:w="140"/>
            </w:tcMar>
          </w:tcPr>
          <w:p>
            <w:pPr>
              <w:spacing w:after="0"/>
            </w:pPr>
            <w:r>
              <w:rPr>
                <w:color w:val="16202E"/>
                <w:sz w:val="20"/>
                <w:szCs w:val="20"/>
              </w:rPr>
              <w:t xml:space="preserve">-1 point</w:t>
            </w:r>
          </w:p>
        </w:tc>
      </w:tr>
    </w:tbl>
    <w:p>
      <w:pPr>
        <w:spacing w:after="200"/>
      </w:pPr>
    </w:p>
    <w:p>
      <w:pPr>
        <w:spacing w:after="0" w:before="480"/>
        <w:jc w:val="center"/>
      </w:pPr>
      <w:r>
        <w:rPr>
          <w:color w:val="566379"/>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A" w:sz="4" w:space="4"/>
      </w:pBdr>
      <w:spacing w:after="0" w:before="80"/>
      <w:jc w:val="right"/>
    </w:pPr>
    <w:r>
      <w:rPr>
        <w:color w:val="566379"/>
        <w:sz w:val="18"/>
        <w:szCs w:val="18"/>
      </w:rPr>
      <w:t xml:space="preserve">Page </w:t>
    </w:r>
    <w:r>
      <w:rPr>
        <w:color w:val="566379"/>
        <w:sz w:val="18"/>
        <w:szCs w:val="18"/>
      </w:rPr>
      <w:fldChar w:fldCharType="begin"/>
      <w:instrText xml:space="preserve">PAGE</w:instrText>
      <w:fldChar w:fldCharType="separate"/>
      <w:fldChar w:fldCharType="end"/>
    </w:r>
    <w:r>
      <w:rPr>
        <w:color w:val="566379"/>
        <w:sz w:val="18"/>
        <w:szCs w:val="18"/>
      </w:rPr>
      <w:t xml:space="preserve"> of </w:t>
    </w:r>
    <w:r>
      <w:rPr>
        <w:color w:val="56637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EA" w:sz="4" w:space="4"/>
      </w:pBdr>
      <w:spacing w:after="0"/>
    </w:pPr>
    <w:r>
      <w:rPr>
        <w:color w:val="566379"/>
        <w:sz w:val="18"/>
        <w:szCs w:val="18"/>
      </w:rPr>
      <w:t xml:space="preserve">Portfolio Simulator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0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4F46E5"/>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6202E"/>
      <w:sz w:val="28"/>
      <w:szCs w:val="28"/>
    </w:rPr>
  </w:style>
  <w:style w:type="paragraph" w:styleId="Heading3">
    <w:name w:val="Heading 3"/>
    <w:basedOn w:val="Normal"/>
    <w:next w:val="Normal"/>
    <w:qFormat/>
    <w:pPr>
      <w:spacing w:after="80" w:before="220"/>
      <w:outlineLvl w:val="2"/>
    </w:pPr>
    <w:rPr>
      <w:rFonts w:ascii="Arial" w:cs="Arial" w:eastAsia="Arial" w:hAnsi="Arial"/>
      <w:b/>
      <w:bCs/>
      <w:color w:val="5663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2026-06-27T12:18:23.628Z</dcterms:created>
  <dcterms:modified xsi:type="dcterms:W3CDTF">2026-06-27T12:18:23.630Z</dcterms:modified>
</cp:coreProperties>
</file>

<file path=docProps/custom.xml><?xml version="1.0" encoding="utf-8"?>
<Properties xmlns="http://schemas.openxmlformats.org/officeDocument/2006/custom-properties" xmlns:vt="http://schemas.openxmlformats.org/officeDocument/2006/docPropsVTypes"/>
</file>