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9.png" ContentType="image/png"/>
  <Override PartName="/word/media/rId25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ethodology-and-proposed-architecture"/>
    <w:p>
      <w:pPr>
        <w:pStyle w:val="Heading1"/>
      </w:pPr>
      <w:r>
        <w:t xml:space="preserve">3. Methodology and Proposed Architecture</w:t>
      </w:r>
    </w:p>
    <w:bookmarkStart w:id="12" w:name="overview-of-the-proposed-pipeline"/>
    <w:p>
      <w:pPr>
        <w:pStyle w:val="Heading2"/>
      </w:pPr>
      <w:r>
        <w:t xml:space="preserve">3.1 Overview of the Proposed Pipeline</w:t>
      </w:r>
    </w:p>
    <w:p>
      <w:pPr>
        <w:pStyle w:val="FirstParagraph"/>
      </w:pPr>
      <w:r>
        <w:t xml:space="preserve">This work proposes a complete, end-to-end deep learning pipeline for the automated classification of retinal fundus photographs into four clinically relevant categories: Normal, Diabetic Retinopathy (DR), Cataract, and Glaucoma. The pipeline is composed of five sequential stages: (1) data ingestion and preprocessing, (2) data augmentation, (3) model construction and training via three distinct architectures, (4) model evaluation, and (5) explainability via Gradient-weighted Class Activation Mapping (Grad-CAM). Figure 1 depicts the overall architecture of the proposed system.</w:t>
      </w:r>
    </w:p>
    <w:p>
      <w:pPr>
        <w:pStyle w:val="BodyText"/>
      </w:pPr>
      <w:r>
        <w:drawing>
          <wp:inline>
            <wp:extent cx="3121152" cy="3121152"/>
            <wp:effectExtent b="0" l="0" r="0" t="0"/>
            <wp:docPr descr="Figure 1: Overall Architecture of the Proposed System" title="" id="10" name="Picture"/>
            <a:graphic>
              <a:graphicData uri="http://schemas.openxmlformats.org/drawingml/2006/picture">
                <pic:pic>
                  <pic:nvPicPr>
                    <pic:cNvPr descr="file:///C:/Users/Arzek/.gemini/antigravity/brain/33b9708f-fa24-4f94-9211-a3dbb0742b0e/detailed_processing_flow_17787899910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1: Overall Architecture of the Proposed System</w:t>
      </w:r>
    </w:p>
    <w:p>
      <w:r>
        <w:pict>
          <v:rect style="width:0;height:1.5pt" o:hralign="center" o:hrstd="t" o:hr="t"/>
        </w:pict>
      </w:r>
    </w:p>
    <w:bookmarkEnd w:id="12"/>
    <w:bookmarkStart w:id="16" w:name="image-preprocessing-pipeline"/>
    <w:p>
      <w:pPr>
        <w:pStyle w:val="Heading2"/>
      </w:pPr>
      <w:r>
        <w:t xml:space="preserve">3.2 Image Preprocessing Pipeline</w:t>
      </w:r>
    </w:p>
    <w:p>
      <w:pPr>
        <w:pStyle w:val="FirstParagraph"/>
      </w:pPr>
      <w:r>
        <w:t xml:space="preserve">A standardized preprocessing pipeline was developed in</w:t>
      </w:r>
      <w:r>
        <w:t xml:space="preserve"> </w:t>
      </w:r>
      <w:r>
        <w:rPr>
          <w:rStyle w:val="VerbatimChar"/>
        </w:rPr>
        <w:t xml:space="preserve">src/preprocessing.py</w:t>
      </w:r>
      <w:r>
        <w:t xml:space="preserve"> </w:t>
      </w:r>
      <w:r>
        <w:t xml:space="preserve">to prepare raw fundus images for the deep learning models. The pipeline consists of three sub-stages: cropping, resizing, and pixel normalization.</w:t>
      </w:r>
    </w:p>
    <w:p>
      <w:pPr>
        <w:pStyle w:val="BodyText"/>
      </w:pPr>
      <w:r>
        <w:drawing>
          <wp:inline>
            <wp:extent cx="3121152" cy="3121152"/>
            <wp:effectExtent b="0" l="0" r="0" t="0"/>
            <wp:docPr descr="Figure 4: Image Preprocessing Pipeline" title="" id="14" name="Picture"/>
            <a:graphic>
              <a:graphicData uri="http://schemas.openxmlformats.org/drawingml/2006/picture">
                <pic:pic>
                  <pic:nvPicPr>
                    <pic:cNvPr descr="file:///C:/Users/Arzek/.gemini/antigravity/brain/33b9708f-fa24-4f94-9211-a3dbb0742b0e/augmentation_techniques_1781216577054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4: Image Preprocessing and Augmentation Pipeline</w:t>
      </w:r>
    </w:p>
    <w:p>
      <w:r>
        <w:pict>
          <v:rect style="width:0;height:1.5pt" o:hralign="center" o:hrstd="t" o:hr="t"/>
        </w:pict>
      </w:r>
    </w:p>
    <w:bookmarkEnd w:id="16"/>
    <w:bookmarkStart w:id="29" w:name="model-architectures"/>
    <w:p>
      <w:pPr>
        <w:pStyle w:val="Heading2"/>
      </w:pPr>
      <w:r>
        <w:t xml:space="preserve">3.3 Model Architectures</w:t>
      </w:r>
    </w:p>
    <w:p>
      <w:pPr>
        <w:pStyle w:val="FirstParagraph"/>
      </w:pPr>
      <w:r>
        <w:t xml:space="preserve">Three distinct deep learning architectures were designed, implemented, and benchmarked. All architectures produce a 4-dimensional softmax output vector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where each component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represents the posterior probability of class</w:t>
      </w:r>
      <w:r>
        <w:t xml:space="preserve"> </w:t>
      </w:r>
      <m:oMath>
        <m:r>
          <m:t>k</m:t>
        </m:r>
      </m:oMath>
      <w:r>
        <w:t xml:space="preserve">.</w:t>
      </w:r>
    </w:p>
    <w:bookmarkStart w:id="20" w:name="X48363d6a3906d4d5c77f262b005b23521e56f17"/>
    <w:p>
      <w:pPr>
        <w:pStyle w:val="Heading3"/>
      </w:pPr>
      <w:r>
        <w:t xml:space="preserve">3.3.1 Architecture I — Baseline Convolutional Neural Network (CNN)</w:t>
      </w:r>
    </w:p>
    <w:p>
      <w:pPr>
        <w:pStyle w:val="FirstParagraph"/>
      </w:pPr>
      <w:r>
        <w:t xml:space="preserve">A custom CNN trained from scratch serves as the baseline for comparison against transfer learning models. The architecture consists of four sequential convolutional blocks, each following the design pattern: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Conv2D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same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BatchNorm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ReLU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MaxPool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(Eq. 4)</m:t>
          </m:r>
        </m:oMath>
      </m:oMathPara>
    </w:p>
    <w:p>
      <w:pPr>
        <w:pStyle w:val="FirstParagraph"/>
      </w:pPr>
      <w:r>
        <w:t xml:space="preserve">with filter counts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32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,</m:t>
        </m:r>
        <m:r>
          <m:t>128</m:t>
        </m:r>
        <m:r>
          <m:rPr>
            <m:sty m:val="p"/>
          </m:rPr>
          <m:t>,</m:t>
        </m:r>
        <m:r>
          <m:t>256</m:t>
        </m:r>
        <m:r>
          <m:rPr>
            <m:sty m:val="p"/>
          </m:rPr>
          <m:t>}</m:t>
        </m:r>
      </m:oMath>
      <w:r>
        <w:t xml:space="preserve"> </w:t>
      </w:r>
      <w:r>
        <w:t xml:space="preserve">for blocks 1–4 respectively. L2 weight regularization (</w:t>
      </w:r>
      <m:oMath>
        <m:r>
          <m:t>λ</m:t>
        </m:r>
        <m:r>
          <m:rPr>
            <m:sty m:val="p"/>
          </m:rPr>
          <m:t>=</m:t>
        </m:r>
        <m:r>
          <m:t>0.001</m:t>
        </m:r>
      </m:oMath>
      <w:r>
        <w:t xml:space="preserve">) is applied to all convolutional kernels. Global Average Pooling (GAP) replaces conventional flattening after the final block.</w:t>
      </w:r>
    </w:p>
    <w:p>
      <w:pPr>
        <w:pStyle w:val="BodyText"/>
      </w:pPr>
      <w:r>
        <w:drawing>
          <wp:inline>
            <wp:extent cx="3121152" cy="3121152"/>
            <wp:effectExtent b="0" l="0" r="0" t="0"/>
            <wp:docPr descr="Figure 2: Baseline CNN Architecture" title="" id="18" name="Picture"/>
            <a:graphic>
              <a:graphicData uri="http://schemas.openxmlformats.org/drawingml/2006/picture">
                <pic:pic>
                  <pic:nvPicPr>
                    <pic:cNvPr descr="file:///C:/Users/Arzek/.gemini/antigravity/brain/33b9708f-fa24-4f94-9211-a3dbb0742b0e/cnn_4_stage_model_178121719171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2: Baseline CNN Architecture</w:t>
      </w:r>
    </w:p>
    <w:p>
      <w:pPr>
        <w:pStyle w:val="BodyText"/>
      </w:pPr>
      <w:r>
        <w:rPr>
          <w:b/>
          <w:bCs/>
        </w:rPr>
        <w:t xml:space="preserve">Table 3. Baseline CNN Layer Summary.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Conv2D + BN + ReLU + MaxPool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112</m:t>
              </m:r>
              <m:r>
                <m:rPr>
                  <m:sty m:val="p"/>
                </m:rPr>
                <m:t>×</m:t>
              </m:r>
              <m:r>
                <m:t>112</m:t>
              </m:r>
              <m:r>
                <m:rPr>
                  <m:sty m:val="p"/>
                </m:rPr>
                <m:t>×</m:t>
              </m:r>
              <m:r>
                <m:t>32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Conv2D + BN + ReLU + MaxPool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56</m:t>
              </m:r>
              <m:r>
                <m:rPr>
                  <m:sty m:val="p"/>
                </m:rPr>
                <m:t>×</m:t>
              </m:r>
              <m:r>
                <m:t>56</m:t>
              </m:r>
              <m:r>
                <m:rPr>
                  <m:sty m:val="p"/>
                </m:rPr>
                <m:t>×</m:t>
              </m:r>
              <m:r>
                <m:t>64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Conv2D + BN + ReLU + MaxPool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28</m:t>
              </m:r>
              <m:r>
                <m:rPr>
                  <m:sty m:val="p"/>
                </m:rPr>
                <m:t>×</m:t>
              </m:r>
              <m:r>
                <m:t>28</m:t>
              </m:r>
              <m:r>
                <m:rPr>
                  <m:sty m:val="p"/>
                </m:rPr>
                <m:t>×</m:t>
              </m:r>
              <m:r>
                <m:t>128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Conv2D + BN + ReLU + MaxPool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14</m:t>
              </m:r>
              <m:r>
                <m:rPr>
                  <m:sty m:val="p"/>
                </m:rPr>
                <m:t>×</m:t>
              </m:r>
              <m:r>
                <m:t>14</m:t>
              </m:r>
              <m:r>
                <m:rPr>
                  <m:sty m:val="p"/>
                </m:rPr>
                <m:t>×</m:t>
              </m:r>
              <m:r>
                <m:t>256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GlobalAveragePooling2D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256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+ BN + ReLU + Dropout(0.5)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512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+ BN + ReLU + Dropout(0.5)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256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+ Softmax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X9b39cc7af6320a97dbce6d18bdb955a35687f9c"/>
    <w:p>
      <w:pPr>
        <w:pStyle w:val="Heading3"/>
      </w:pPr>
      <w:r>
        <w:t xml:space="preserve">3.3.2 Architecture II — ResNet50 with Transfer Learning</w:t>
      </w:r>
    </w:p>
    <w:p>
      <w:pPr>
        <w:pStyle w:val="FirstParagraph"/>
      </w:pPr>
      <w:r>
        <w:t xml:space="preserve">The second architecture leverages ResNet50 [5], a 50-layer residual network pre-trained on ImageNet-1K (1.28 million images, 1,000 classes). ResNet50 introduces skip connections that allow gradients to bypass one or more layers, mitigating the vanishing gradient problem. The residual mapping is defined as: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{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{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 </w:t>
      </w:r>
      <w:r>
        <w:t xml:space="preserve">is the residual mapping learned by the stacked layers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identity shortcut connection. A two-phase training protocol is used: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Feature Extraction</w:t>
      </w:r>
      <w:r>
        <w:t xml:space="preserve"> </w:t>
      </w:r>
      <w:r>
        <w:t xml:space="preserve">— all base layers frozen, only the custom head is trained.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Fine-Tuning</w:t>
      </w:r>
      <w:r>
        <w:t xml:space="preserve"> </w:t>
      </w:r>
      <w:r>
        <w:t xml:space="preserve">— the last 20 ResNet50 layers are unfrozen and trained jointly with the classification head at a reduced learning rate for domain adaptation.</w:t>
      </w:r>
    </w:p>
    <w:p>
      <w:pPr>
        <w:pStyle w:val="BodyText"/>
      </w:pPr>
      <w:r>
        <w:t xml:space="preserve">The custom classification head appended to the ResNet50 backbone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GAP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BN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Drop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Dense</m:t>
          </m:r>
          <m:r>
            <m:rPr>
              <m:sty m:val="p"/>
            </m:rPr>
            <m:t>(</m:t>
          </m:r>
          <m:r>
            <m:t>512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BN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Drop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Dense</m:t>
          </m:r>
          <m:r>
            <m:rPr>
              <m:sty m:val="p"/>
            </m:rPr>
            <m:t>(</m:t>
          </m:r>
          <m:r>
            <m:t>256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BN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Drop</m:t>
          </m:r>
          <m:r>
            <m:rPr>
              <m:sty m:val="p"/>
            </m:rPr>
            <m:t>(</m:t>
          </m:r>
          <m:r>
            <m:t>0.25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Softmax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drawing>
          <wp:inline>
            <wp:extent cx="3121152" cy="3121152"/>
            <wp:effectExtent b="0" l="0" r="0" t="0"/>
            <wp:docPr descr="Figure 3: ResNet50 Architecture" title="" id="22" name="Picture"/>
            <a:graphic>
              <a:graphicData uri="http://schemas.openxmlformats.org/drawingml/2006/picture">
                <pic:pic>
                  <pic:nvPicPr>
                    <pic:cNvPr descr="file:///C:/Users/Arzek/.gemini/antigravity/brain/33b9708f-fa24-4f94-9211-a3dbb0742b0e/resnet50_architecture_1781217201899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3: Transfer Learning Architecture (ResNet50)</w:t>
      </w:r>
    </w:p>
    <w:p>
      <w:r>
        <w:pict>
          <v:rect style="width:0;height:1.5pt" o:hralign="center" o:hrstd="t" o:hr="t"/>
        </w:pict>
      </w:r>
    </w:p>
    <w:bookmarkEnd w:id="24"/>
    <w:bookmarkStart w:id="28" w:name="Xd14d8b0d85390397645a86f710cf48702f037af"/>
    <w:p>
      <w:pPr>
        <w:pStyle w:val="Heading3"/>
      </w:pPr>
      <w:r>
        <w:t xml:space="preserve">3.3.3 Architecture III — EfficientNetB0 with Compound Scaling</w:t>
      </w:r>
    </w:p>
    <w:p>
      <w:pPr>
        <w:pStyle w:val="FirstParagraph"/>
      </w:pPr>
      <w:r>
        <w:t xml:space="preserve">The third architecture is based on EfficientNetB0 [6], constructed using Neural Architecture Search (NAS) and scaled via a compound coefficient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that simultaneously scales network width (</w:t>
      </w:r>
      <m:oMath>
        <m:r>
          <m:t>w</m:t>
        </m:r>
      </m:oMath>
      <w:r>
        <w:t xml:space="preserve">), depth (</w:t>
      </w:r>
      <m:oMath>
        <m:r>
          <m:t>d</m:t>
        </m:r>
      </m:oMath>
      <w:r>
        <w:t xml:space="preserve">), and input resolution (</w:t>
      </w:r>
      <m:oMath>
        <m:r>
          <m:t>r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p>
            <m:e>
              <m:r>
                <m:t>α</m:t>
              </m:r>
            </m:e>
            <m:sup>
              <m:r>
                <m:t>ϕ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w</m:t>
          </m:r>
          <m:r>
            <m:rPr>
              <m:sty m:val="p"/>
            </m:rPr>
            <m:t>=</m:t>
          </m:r>
          <m:sSup>
            <m:e>
              <m:r>
                <m:t>β</m:t>
              </m:r>
            </m:e>
            <m:sup>
              <m:r>
                <m:t>ϕ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r>
            <m:t>α</m:t>
          </m:r>
          <m:r>
            <m:rPr>
              <m:sty m:val="p"/>
            </m:rPr>
            <m:t>⋅</m:t>
          </m:r>
          <m:sSup>
            <m:e>
              <m:r>
                <m:t>β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γ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t>α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pStyle w:val="FirstParagraph"/>
      </w:pPr>
      <w:r>
        <w:t xml:space="preserve">For EfficientNetB0,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1.1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1.1</m:t>
        </m:r>
      </m:oMath>
      <w:r>
        <w:t xml:space="preserve">. The core building block is the Mobile Inverted Bottleneck (MBConv) combined with a Squeeze-and-Excitation (SE) attention module that adaptively recalibrates channel-wise feature responses: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r>
            <m:t>δ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z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the global average-pooled representation of channel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ReLU, 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the sigmoid activation. The custom head uses the Swish activation function [</w:t>
      </w:r>
      <m:oMath>
        <m:r>
          <m:rPr>
            <m:nor/>
            <m:sty m:val="p"/>
          </m:rPr>
          <m:t>Swish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σ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], consistent with the backbone’s activation: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GAP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BN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Drop</m:t>
          </m:r>
          <m:r>
            <m:rPr>
              <m:sty m:val="p"/>
            </m:rPr>
            <m:t>(</m:t>
          </m:r>
          <m:r>
            <m:t>0.3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Dense</m:t>
          </m:r>
          <m:r>
            <m:rPr>
              <m:sty m:val="p"/>
            </m:rPr>
            <m:t>(</m:t>
          </m:r>
          <m:r>
            <m:t>256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Swish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BN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Drop</m:t>
          </m:r>
          <m:r>
            <m:rPr>
              <m:sty m:val="p"/>
            </m:rPr>
            <m:t>(</m:t>
          </m:r>
          <m:r>
            <m:t>0.15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Softmax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(Eq. 9)</m:t>
          </m:r>
        </m:oMath>
      </m:oMathPara>
    </w:p>
    <w:p>
      <w:pPr>
        <w:pStyle w:val="FirstParagraph"/>
      </w:pPr>
      <w:r>
        <w:drawing>
          <wp:inline>
            <wp:extent cx="3121152" cy="3121152"/>
            <wp:effectExtent b="0" l="0" r="0" t="0"/>
            <wp:docPr descr="EfficientNet Compound Scaling" title="" id="26" name="Picture"/>
            <a:graphic>
              <a:graphicData uri="http://schemas.openxmlformats.org/drawingml/2006/picture">
                <pic:pic>
                  <pic:nvPicPr>
                    <pic:cNvPr descr="file:///C:/Users/Arzek/.gemini/antigravity/brain/33b9708f-fa24-4f94-9211-a3dbb0742b0e/efficientnet_compound_scaling_178121722051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EfficientNet Compound Scaling Visualization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raining-configuration-and-optimization"/>
    <w:p>
      <w:pPr>
        <w:pStyle w:val="Heading2"/>
      </w:pPr>
      <w:r>
        <w:t xml:space="preserve">3.4 Training Configuration and Optimization</w:t>
      </w:r>
    </w:p>
    <w:p>
      <w:pPr>
        <w:pStyle w:val="FirstParagraph"/>
      </w:pPr>
      <w:r>
        <w:t xml:space="preserve">All three models are compiled with categorical cross-entropy loss, the standard loss function for multi-class classification with one-hot encoded labels: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samples,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the number of classes,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ground-truth one-hot label,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predicted probability. The Adam optimizer is employed with an initial learning rate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Table: Training Callbacks and Configuration.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Monitored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val_accuracy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save_best_only=True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mode=max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EarlyStopping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val_loss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patience=10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restore_best_weights=True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ReduceLROnPlateau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val_loss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factor=0.2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patience=5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min_lr=1e-7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TensorBoard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histogram_freq=1</w:t>
            </w:r>
            <w:r>
              <w:t xml:space="preserve">, per-epoch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CSVLogger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mode, timestamped file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Table: General Training Hyperparameters.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Hyperparameter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Maximum 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(with early stopping)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 learning rate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Loss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cross-entropy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 resolution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224</m:t>
              </m:r>
              <m:r>
                <m:rPr>
                  <m:sty m:val="p"/>
                </m:rPr>
                <m:t>×</m:t>
              </m:r>
              <m:r>
                <m:t>224</m:t>
              </m:r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Random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evaluation-metrics"/>
    <w:p>
      <w:pPr>
        <w:pStyle w:val="Heading2"/>
      </w:pPr>
      <w:r>
        <w:t xml:space="preserve">3.5 Evaluation Metrics</w:t>
      </w:r>
    </w:p>
    <w:p>
      <w:pPr>
        <w:pStyle w:val="FirstParagraph"/>
      </w:pPr>
      <w:r>
        <w:t xml:space="preserve">Model performance is assessed on the held-out test set (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 15%) using the following metrics computed via scikit-learn: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Accuracy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N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Precision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t>F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nor/>
                  <m:sty m:val="p"/>
                </m:rPr>
                <m:t>Recall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t>F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nor/>
                  <m:sty m:val="p"/>
                </m:rPr>
                <m:t>F1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ROC-AUC</m:t>
              </m:r>
            </m:e>
            <m:sub>
              <m:r>
                <m:rPr>
                  <m:nor/>
                  <m:sty m:val="p"/>
                </m:rPr>
                <m:t>macro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AUC</m:t>
              </m:r>
            </m:e>
          </m:nary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FPR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</m:rPr>
                <m:t>TPR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Both macro-averaged and weighted-averaged variants of Precision, Recall, and F1 are reported. ROC-AUC is computed under the One-vs-Rest (OvR) multi-class scheme.</w:t>
      </w:r>
    </w:p>
    <w:p>
      <w:pPr>
        <w:pStyle w:val="BodyText"/>
      </w:pPr>
      <w:r>
        <w:rPr>
          <w:b/>
          <w:bCs/>
        </w:rPr>
        <w:t xml:space="preserve">Table 6. Best Model Performance on Test Set.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Model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Precision (Macro)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Recall (Macro)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F1-Score (Macro)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ROC-AUC (Macro)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xplainability-via-grad-cam"/>
    <w:p>
      <w:pPr>
        <w:pStyle w:val="Heading2"/>
      </w:pPr>
      <w:r>
        <w:t xml:space="preserve">3.6 Explainability via Grad-CAM</w:t>
      </w:r>
    </w:p>
    <w:p>
      <w:pPr>
        <w:pStyle w:val="FirstParagraph"/>
      </w:pPr>
      <w:r>
        <w:t xml:space="preserve">To provide clinical interpretability, Gradient-weighted Class Activation Mapping (Grad-CAM) [7] is implemented in</w:t>
      </w:r>
      <w:r>
        <w:t xml:space="preserve"> </w:t>
      </w:r>
      <w:r>
        <w:rPr>
          <w:rStyle w:val="VerbatimChar"/>
        </w:rPr>
        <w:t xml:space="preserve">src/gradcam.py</w:t>
      </w:r>
      <w:r>
        <w:t xml:space="preserve">. Grad-CAM produces a class-discriminative localization map highlighting the spatial regions of the input most influential for a given prediction.</w:t>
      </w:r>
    </w:p>
    <w:p>
      <w:pPr>
        <w:pStyle w:val="BodyText"/>
      </w:pPr>
      <w:r>
        <w:t xml:space="preserve">Given the last convolutional feature map</w:t>
      </w:r>
      <w:r>
        <w:t xml:space="preserve"> </w:t>
      </w:r>
      <m:oMath>
        <m:sSup>
          <m:e>
            <m: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u</m:t>
            </m:r>
            <m:r>
              <m:rPr>
                <m:sty m:val="p"/>
              </m:rPr>
              <m:t>×</m:t>
            </m:r>
            <m:r>
              <m:t>v</m:t>
            </m:r>
          </m:sup>
        </m:sSup>
      </m:oMath>
      <w:r>
        <w:t xml:space="preserve"> </w:t>
      </w:r>
      <w:r>
        <w:t xml:space="preserve">and the class score</w:t>
      </w:r>
      <w:r>
        <w:t xml:space="preserve"> </w:t>
      </w:r>
      <m:oMath>
        <m:sSup>
          <m:e>
            <m:r>
              <m:t>y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(before softmax), the importance weight</w:t>
      </w:r>
      <w:r>
        <w:t xml:space="preserve"> </w:t>
      </w:r>
      <m:oMath>
        <m:sSubSup>
          <m:e>
            <m:r>
              <m:t>α</m:t>
            </m:r>
          </m:e>
          <m:sub>
            <m:r>
              <m:t>k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is computed via Global Average Pooling of the gradients: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α</m:t>
              </m:r>
            </m:e>
            <m:sub>
              <m:r>
                <m:t>k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</m:den>
                  </m:f>
                </m:e>
              </m:nary>
            </m:e>
          </m:nary>
        </m:oMath>
      </m:oMathPara>
    </w:p>
    <w:p>
      <w:pPr>
        <w:pStyle w:val="FirstParagraph"/>
      </w:pPr>
      <w:r>
        <w:t xml:space="preserve">The Grad-CAM heatmap is the ReLU-activated weighted combination of the feature maps: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Grad-CAM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ReLU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nary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ReLU retains only activations that positively influence the class score. The heatmap is upsampled to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via bilinear interpolation and overlaid on the input image with a transparency factor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blend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using the Jet colormap. The last convolutional layer is detected automatically by traversing the model’s layers in reverse.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9" Target="media/rId9.png" /><Relationship Type="http://schemas.openxmlformats.org/officeDocument/2006/relationships/image" Id="rId25" Target="media/rId25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2026-06-11T22:51:23Z</dcterms:created>
  <dcterms:modified xsi:type="dcterms:W3CDTF">2026-06-11T22:51:23Z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