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22543D"/>
          <w:sz w:val="48"/>
        </w:rPr>
        <w:t>Darukaa.Earth Hackathon Submission</w:t>
        <w:br/>
        <w:t>AI Biodiversity Intelligence Chatbot</w:t>
      </w:r>
    </w:p>
    <w:p>
      <w:pPr>
        <w:spacing w:after="360"/>
      </w:pPr>
      <w:r>
        <w:rPr>
          <w:i/>
          <w:color w:val="4A5568"/>
          <w:sz w:val="26"/>
        </w:rPr>
        <w:t>A Knowledge-Grounded, Multi-Metric Environmental Scientist Reasoning System</w:t>
      </w:r>
    </w:p>
    <w:p>
      <w:pPr>
        <w:pStyle w:val="Heading1"/>
      </w:pPr>
      <w:r>
        <w:t>1. Submission &amp; Repository Links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0FDF4"/>
          </w:tcPr>
          <w:p>
            <w:r>
              <w:rPr>
                <w:b/>
              </w:rPr>
              <w:t>GitHub Repository Link</w:t>
            </w:r>
          </w:p>
        </w:tc>
        <w:tc>
          <w:tcPr>
            <w:tcW w:type="dxa" w:w="4320"/>
          </w:tcPr>
          <w:p>
            <w:r>
              <w:t>https://github.com/darukaa-submission/ai-biodiversity-intelligence</w:t>
            </w:r>
          </w:p>
        </w:tc>
      </w:tr>
      <w:tr>
        <w:tc>
          <w:tcPr>
            <w:tcW w:type="dxa" w:w="4320"/>
            <w:shd w:val="clear" w:color="auto" w:fill="F0FDF4"/>
          </w:tcPr>
          <w:p>
            <w:r>
              <w:rPr>
                <w:b/>
              </w:rPr>
              <w:t>Live Demo URL</w:t>
            </w:r>
          </w:p>
        </w:tc>
        <w:tc>
          <w:tcPr>
            <w:tcW w:type="dxa" w:w="4320"/>
          </w:tcPr>
          <w:p>
            <w:r>
              <w:t>http://localhost:8501 (or Streamlit Community Cloud)</w:t>
            </w:r>
          </w:p>
        </w:tc>
      </w:tr>
      <w:tr>
        <w:tc>
          <w:tcPr>
            <w:tcW w:type="dxa" w:w="4320"/>
            <w:shd w:val="clear" w:color="auto" w:fill="F0FDF4"/>
          </w:tcPr>
          <w:p>
            <w:r>
              <w:rPr>
                <w:b/>
              </w:rPr>
              <w:t>Model Core</w:t>
            </w:r>
          </w:p>
        </w:tc>
        <w:tc>
          <w:tcPr>
            <w:tcW w:type="dxa" w:w="4320"/>
          </w:tcPr>
          <w:p>
            <w:r>
              <w:t>Google Gemini 3.6 Flash / 3.5 Flash Lite + RAG Hybrid Engine</w:t>
            </w:r>
          </w:p>
        </w:tc>
      </w:tr>
      <w:tr>
        <w:tc>
          <w:tcPr>
            <w:tcW w:type="dxa" w:w="4320"/>
            <w:shd w:val="clear" w:color="auto" w:fill="F0FDF4"/>
          </w:tcPr>
          <w:p>
            <w:r>
              <w:rPr>
                <w:b/>
              </w:rPr>
              <w:t>Invited Reviewers</w:t>
            </w:r>
          </w:p>
        </w:tc>
        <w:tc>
          <w:tcPr>
            <w:tcW w:type="dxa" w:w="4320"/>
          </w:tcPr>
          <w:p>
            <w:r>
              <w:t>ankita.dasgupta@darukaa.com, harsh.kumar@darukaa.com, utkarsh.gauniyal@darukaa.com, guneet.mutreja@darukaa.com</w:t>
            </w:r>
          </w:p>
        </w:tc>
      </w:tr>
    </w:tbl>
    <w:p>
      <w:pPr>
        <w:spacing w:after="240"/>
      </w:pPr>
    </w:p>
    <w:p>
      <w:pPr>
        <w:pStyle w:val="Heading1"/>
      </w:pPr>
      <w:r>
        <w:t>2. System Architecture &amp; Scientific Design</w:t>
      </w:r>
    </w:p>
    <w:p>
      <w:r>
        <w:t>This system addresses the Darukaa.Earth challenge by behaving as an AI Environmental Scientist rather than a superficial chatbot. It combines a structured RAG knowledge layer with multi-metric causal reasoning and strict conversational intelligence that refuses to make generic guesses without adequate baseline metrics.</w:t>
      </w:r>
    </w:p>
    <w:p>
      <w:pPr>
        <w:pStyle w:val="Heading2"/>
      </w:pPr>
      <w:r>
        <w:t>Core Architectural Layers:</w:t>
      </w:r>
    </w:p>
    <w:p>
      <w:pPr>
        <w:pStyle w:val="ListBullet"/>
      </w:pPr>
      <w:r>
        <w:rPr>
          <w:b/>
        </w:rPr>
        <w:t xml:space="preserve">Knowledge Layer (RAG): </w:t>
      </w:r>
      <w:r>
        <w:t>Indexes verified scientific reports from FAO (Recarbonizing Global Soils, 2020), IPCC (Special Report on Climate Change and Land, 2019), and IPBES (Global Assessment Report, 2019). Documents are structured with explicit baseline conditions, quantitative impact benchmarks, and peer-reviewed citations.</w:t>
      </w:r>
    </w:p>
    <w:p>
      <w:pPr>
        <w:pStyle w:val="ListBullet"/>
      </w:pPr>
      <w:r>
        <w:rPr>
          <w:b/>
        </w:rPr>
        <w:t xml:space="preserve">Multi-Metric Reasoning Engine: </w:t>
      </w:r>
      <w:r>
        <w:t>Enforces the mandatory requirement to cross-link at least 3 environmental dimensions together (Soil Health &lt;-&gt; Water Dynamics &lt;-&gt; Species Survival/Trophic Diversity). No single-variable answers are permitted.</w:t>
      </w:r>
    </w:p>
    <w:p>
      <w:pPr>
        <w:pStyle w:val="ListBullet"/>
      </w:pPr>
      <w:r>
        <w:rPr>
          <w:b/>
        </w:rPr>
        <w:t xml:space="preserve">Conversational Intelligence: </w:t>
      </w:r>
      <w:r>
        <w:t>Evaluates input sufficiency before synthesizing recommendations. When presented with underspecified statements (e.g., 'Biodiversity is declining on my land'), the agent asks targeted clarifying questions to establish baseline soil carbon %, rainfall pattern, and land use.</w:t>
      </w:r>
    </w:p>
    <w:p>
      <w:pPr>
        <w:pStyle w:val="ListBullet"/>
      </w:pPr>
      <w:r>
        <w:rPr>
          <w:b/>
        </w:rPr>
        <w:t xml:space="preserve">Dual Input Modality: </w:t>
      </w:r>
      <w:r>
        <w:t>Accepts both free-form natural language and structured JSON inputs, alongside bonus geospatial coordinate inference to estimate regional biomes and rainfall regimes.</w:t>
      </w:r>
    </w:p>
    <w:p>
      <w:pPr>
        <w:pStyle w:val="Heading1"/>
      </w:pPr>
      <w:r>
        <w:t>3. Challenge Benchmark Verification</w:t>
      </w:r>
    </w:p>
    <w:p>
      <w:r>
        <w:t>The system was tested against the official hackathon use case specified in the challenge brief:</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7FAFC"/>
          </w:tcPr>
          <w:p>
            <w:r>
              <w:rPr>
                <w:b/>
              </w:rPr>
              <w:t>Input Soil Organic Carbon</w:t>
            </w:r>
          </w:p>
        </w:tc>
        <w:tc>
          <w:tcPr>
            <w:tcW w:type="dxa" w:w="4320"/>
          </w:tcPr>
          <w:p>
            <w:r>
              <w:t>0.3% (Critically depleted baseline)</w:t>
            </w:r>
          </w:p>
        </w:tc>
      </w:tr>
      <w:tr>
        <w:tc>
          <w:tcPr>
            <w:tcW w:type="dxa" w:w="4320"/>
            <w:shd w:val="clear" w:color="auto" w:fill="F7FAFC"/>
          </w:tcPr>
          <w:p>
            <w:r>
              <w:rPr>
                <w:b/>
              </w:rPr>
              <w:t>Input Rainfall Pattern</w:t>
            </w:r>
          </w:p>
        </w:tc>
        <w:tc>
          <w:tcPr>
            <w:tcW w:type="dxa" w:w="4320"/>
          </w:tcPr>
          <w:p>
            <w:r>
              <w:t>Low (&lt; 450 mm/year, semi-arid)</w:t>
            </w:r>
          </w:p>
        </w:tc>
      </w:tr>
      <w:tr>
        <w:tc>
          <w:tcPr>
            <w:tcW w:type="dxa" w:w="4320"/>
            <w:shd w:val="clear" w:color="auto" w:fill="F7FAFC"/>
          </w:tcPr>
          <w:p>
            <w:r>
              <w:rPr>
                <w:b/>
              </w:rPr>
              <w:t>Input Land Use</w:t>
            </w:r>
          </w:p>
        </w:tc>
        <w:tc>
          <w:tcPr>
            <w:tcW w:type="dxa" w:w="4320"/>
          </w:tcPr>
          <w:p>
            <w:r>
              <w:t>Monoculture wheat</w:t>
            </w:r>
          </w:p>
        </w:tc>
      </w:tr>
      <w:tr>
        <w:tc>
          <w:tcPr>
            <w:tcW w:type="dxa" w:w="4320"/>
            <w:shd w:val="clear" w:color="auto" w:fill="F7FAFC"/>
          </w:tcPr>
          <w:p>
            <w:r>
              <w:rPr>
                <w:b/>
              </w:rPr>
              <w:t>Input Region</w:t>
            </w:r>
          </w:p>
        </w:tc>
        <w:tc>
          <w:tcPr>
            <w:tcW w:type="dxa" w:w="4320"/>
          </w:tcPr>
          <w:p>
            <w:r>
              <w:t>Semi-arid dryland</w:t>
            </w:r>
          </w:p>
        </w:tc>
      </w:tr>
      <w:tr>
        <w:tc>
          <w:tcPr>
            <w:tcW w:type="dxa" w:w="4320"/>
            <w:shd w:val="clear" w:color="auto" w:fill="F7FAFC"/>
          </w:tcPr>
          <w:p>
            <w:r>
              <w:rPr>
                <w:b/>
              </w:rPr>
              <w:t>Generated Interventions</w:t>
            </w:r>
          </w:p>
        </w:tc>
        <w:tc>
          <w:tcPr>
            <w:tcW w:type="dxa" w:w="4320"/>
          </w:tcPr>
          <w:p>
            <w:r>
              <w:t>1. Silvoarable Alley Cropping with Drought-Tolerant Native Trees (FAO/IPCC)</w:t>
              <w:br/>
              <w:t>2. Multi-Species Legume Cover Cropping &amp; MAOM Sequestration (FAO/Lal)</w:t>
              <w:br/>
              <w:t>3. Native Flowering Hedgerow &amp; Microclimate Corridors (IPBES)</w:t>
            </w:r>
          </w:p>
        </w:tc>
      </w:tr>
    </w:tbl>
    <w:p>
      <w:pPr>
        <w:spacing w:after="240"/>
      </w:pPr>
    </w:p>
    <w:p>
      <w:pPr>
        <w:pStyle w:val="Heading1"/>
      </w:pPr>
      <w:r>
        <w:t>4. Evidence-Backed Improvement Benchmarks</w:t>
      </w:r>
    </w:p>
    <w:p>
      <w:r>
        <w:t>All interventions are supported by explicit quantitative metrics and scientific mechanisms: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2E8F0"/>
          </w:tcPr>
          <w:p>
            <w:r>
              <w:rPr>
                <w:b/>
              </w:rPr>
              <w:t>Intervention</w:t>
            </w:r>
          </w:p>
        </w:tc>
        <w:tc>
          <w:tcPr>
            <w:tcW w:type="dxa" w:w="2880"/>
            <w:shd w:val="clear" w:color="auto" w:fill="E2E8F0"/>
          </w:tcPr>
          <w:p>
            <w:r>
              <w:rPr>
                <w:b/>
              </w:rPr>
              <w:t>Quantified Metric Improvements</w:t>
            </w:r>
          </w:p>
        </w:tc>
        <w:tc>
          <w:tcPr>
            <w:tcW w:type="dxa" w:w="2880"/>
            <w:shd w:val="clear" w:color="auto" w:fill="E2E8F0"/>
          </w:tcPr>
          <w:p>
            <w:r>
              <w:rPr>
                <w:b/>
              </w:rPr>
              <w:t>Credible Citations</w:t>
            </w:r>
          </w:p>
        </w:tc>
      </w:tr>
      <w:tr>
        <w:tc>
          <w:tcPr>
            <w:tcW w:type="dxa" w:w="2880"/>
          </w:tcPr>
          <w:p>
            <w:r>
              <w:t>Silvoarable Agroforestry &amp; Alley Cropping</w:t>
            </w:r>
          </w:p>
        </w:tc>
        <w:tc>
          <w:tcPr>
            <w:tcW w:type="dxa" w:w="2880"/>
          </w:tcPr>
          <w:p>
            <w:r>
              <w:t>- Soil Organic Carbon: +0.25 to +0.65 t C/ha/yr</w:t>
              <w:br/>
              <w:t>- Wind erosion loss: -50% to -75%</w:t>
              <w:br/>
              <w:t>- Water Use Efficiency: +18% to +30%</w:t>
              <w:br/>
              <w:t>- Avian/Arthropod Diversity: +40% to +65%</w:t>
            </w:r>
          </w:p>
        </w:tc>
        <w:tc>
          <w:tcPr>
            <w:tcW w:type="dxa" w:w="2880"/>
          </w:tcPr>
          <w:p>
            <w:r>
              <w:t>IPCC (2019) SRCCL Ch. 4; CGIAR / ICRAF (2021)</w:t>
            </w:r>
          </w:p>
        </w:tc>
      </w:tr>
      <w:tr>
        <w:tc>
          <w:tcPr>
            <w:tcW w:type="dxa" w:w="2880"/>
          </w:tcPr>
          <w:p>
            <w:r>
              <w:t>Legume-Based Cover Cropping</w:t>
            </w:r>
          </w:p>
        </w:tc>
        <w:tc>
          <w:tcPr>
            <w:tcW w:type="dxa" w:w="2880"/>
          </w:tcPr>
          <w:p>
            <w:r>
              <w:t>- Soil Organic Carbon: +15% to +28% over 2-4 yrs</w:t>
              <w:br/>
              <w:t>- Microbial Biomass: +35% to +50%</w:t>
              <w:br/>
              <w:t>- Infiltration Rate: +25% to +40%</w:t>
              <w:br/>
              <w:t>- Synthetic N reduction: 30% to 50%</w:t>
            </w:r>
          </w:p>
        </w:tc>
        <w:tc>
          <w:tcPr>
            <w:tcW w:type="dxa" w:w="2880"/>
          </w:tcPr>
          <w:p>
            <w:r>
              <w:t>FAO (2020) Recarbonizing Global Soils; Lal, R. (2018)</w:t>
            </w:r>
          </w:p>
        </w:tc>
      </w:tr>
      <w:tr>
        <w:tc>
          <w:tcPr>
            <w:tcW w:type="dxa" w:w="2880"/>
          </w:tcPr>
          <w:p>
            <w:r>
              <w:t>Native Hedgerows &amp; Buffer Corridors</w:t>
            </w:r>
          </w:p>
        </w:tc>
        <w:tc>
          <w:tcPr>
            <w:tcW w:type="dxa" w:w="2880"/>
          </w:tcPr>
          <w:p>
            <w:r>
              <w:t>- Wild bee richness: +70% to +120%</w:t>
              <w:br/>
              <w:t>- Natural pest predation: +45%</w:t>
              <w:br/>
              <w:t>- Runoff filtration: 55% to 75%</w:t>
              <w:br/>
              <w:t>- Wildlife dispersal: +120%</w:t>
            </w:r>
          </w:p>
        </w:tc>
        <w:tc>
          <w:tcPr>
            <w:tcW w:type="dxa" w:w="2880"/>
          </w:tcPr>
          <w:p>
            <w:r>
              <w:t>IPBES (2016) Pollinators; Kremen &amp; Miles (2012)</w:t>
            </w:r>
          </w:p>
        </w:tc>
      </w:tr>
    </w:tbl>
    <w:p>
      <w:pPr>
        <w:spacing w:after="240"/>
      </w:pPr>
    </w:p>
    <w:p>
      <w:pPr>
        <w:pStyle w:val="Heading1"/>
      </w:pPr>
      <w:r>
        <w:t>5. Local Setup &amp; Execution Guide</w:t>
      </w:r>
    </w:p>
    <w:p>
      <w:pPr>
        <w:ind w:left="288"/>
      </w:pPr>
      <w:r>
        <w:t>1. Clone the repository: git clone https://github.com/darukaa-submission/ai-biodiversity-intelligence</w:t>
      </w:r>
    </w:p>
    <w:p>
      <w:pPr>
        <w:ind w:left="288"/>
      </w:pPr>
      <w:r>
        <w:t>2. Create virtual environment and install dependencies: pip install -r requirements.txt</w:t>
      </w:r>
    </w:p>
    <w:p>
      <w:pPr>
        <w:ind w:left="288"/>
      </w:pPr>
      <w:r>
        <w:t>3. Configure your GEMINI_API_KEY in the .env file</w:t>
      </w:r>
    </w:p>
    <w:p>
      <w:pPr>
        <w:ind w:left="288"/>
      </w:pPr>
      <w:r>
        <w:t>4. Run the interactive Streamlit application: streamlit run app.py</w:t>
      </w:r>
    </w:p>
    <w:p>
      <w:pPr>
        <w:ind w:left="288"/>
      </w:pPr>
      <w:r>
        <w:t>5. Run the automated test suite: python tests/test_scenarios.py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