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Implementacion de un Modelo Oculto de Markov aplicado al clima</w:t>
      </w:r>
    </w:p>
    <w:p>
      <w:pPr>
        <w:jc w:val="center"/>
      </w:pPr>
      <w:r>
        <w:rPr>
          <w:rFonts w:ascii="Arial" w:hAnsi="Arial"/>
          <w:color w:val="5A5A5A"/>
          <w:sz w:val="24"/>
        </w:rPr>
        <w:t>Estados ocultos, observaciones visibles y simulacion probabilistica</w:t>
      </w:r>
    </w:p>
    <w:p/>
    <w:p>
      <w:pPr>
        <w:pStyle w:val="Heading1"/>
      </w:pPr>
      <w:r>
        <w:rPr>
          <w:rFonts w:ascii="Arial" w:hAnsi="Arial"/>
          <w:color w:val="1F4E79"/>
        </w:rPr>
        <w:t>Introduccion</w:t>
      </w:r>
    </w:p>
    <w:p>
      <w:pPr>
        <w:spacing w:after="120" w:line="259" w:lineRule="auto"/>
      </w:pPr>
      <w:r>
        <w:rPr>
          <w:rFonts w:ascii="Arial" w:hAnsi="Arial"/>
          <w:sz w:val="24"/>
        </w:rPr>
        <w:t>Un Modelo Oculto de Markov, o HMM, representa procesos donde existe una parte que no se observa directamente. Esa parte se llama estado oculto. Aunque el estado oculto no se ve, el sistema produce observaciones visibles que funcionan como pistas.</w:t>
      </w:r>
    </w:p>
    <w:p>
      <w:pPr>
        <w:spacing w:after="120" w:line="259" w:lineRule="auto"/>
      </w:pPr>
      <w:r>
        <w:rPr>
          <w:rFonts w:ascii="Arial" w:hAnsi="Arial"/>
          <w:sz w:val="24"/>
        </w:rPr>
        <w:t>En esta actividad se simulan condiciones atmosfericas no observables directamente y se relacionan con resultados visibles del clima. Los estados ocultos son Alta presion y Baja presion. Las observaciones visibles son Soleado, Nublado y Lluvioso.</w:t>
      </w:r>
    </w:p>
    <w:p>
      <w:pPr>
        <w:pStyle w:val="ListBullet"/>
        <w:spacing w:after="80"/>
      </w:pPr>
      <w:r>
        <w:rPr>
          <w:rFonts w:ascii="Arial" w:hAnsi="Arial"/>
          <w:sz w:val="24"/>
        </w:rPr>
        <w:t>Probabilidades iniciales: indican en que estado oculto puede comenzar el sistema.</w:t>
      </w:r>
    </w:p>
    <w:p>
      <w:pPr>
        <w:pStyle w:val="ListBullet"/>
        <w:spacing w:after="80"/>
      </w:pPr>
      <w:r>
        <w:rPr>
          <w:rFonts w:ascii="Arial" w:hAnsi="Arial"/>
          <w:sz w:val="24"/>
        </w:rPr>
        <w:t>Probabilidades de transicion: indican como cambia el sistema entre estados ocultos.</w:t>
      </w:r>
    </w:p>
    <w:p>
      <w:pPr>
        <w:pStyle w:val="ListBullet"/>
        <w:spacing w:after="80"/>
      </w:pPr>
      <w:r>
        <w:rPr>
          <w:rFonts w:ascii="Arial" w:hAnsi="Arial"/>
          <w:sz w:val="24"/>
        </w:rPr>
        <w:t>Probabilidades de emision: indican que observacion visible puede aparecer desde cada estado oculto.</w:t>
      </w:r>
    </w:p>
    <w:p>
      <w:pPr>
        <w:pStyle w:val="Heading1"/>
      </w:pPr>
      <w:r>
        <w:rPr>
          <w:rFonts w:ascii="Arial" w:hAnsi="Arial"/>
          <w:color w:val="1F4E79"/>
        </w:rPr>
        <w:t>Metodologia</w:t>
      </w:r>
    </w:p>
    <w:p>
      <w:pPr>
        <w:spacing w:after="120" w:line="259" w:lineRule="auto"/>
      </w:pPr>
      <w:r>
        <w:rPr>
          <w:rFonts w:ascii="Arial" w:hAnsi="Arial"/>
          <w:sz w:val="24"/>
        </w:rPr>
        <w:t>La solucion se implemento en Python sin librerias externas. El fenomeno elegido fue el clima diario, donde la presion atmosferica actua como causa interna y el clima visible actua como evidencia observable.</w:t>
      </w:r>
    </w:p>
    <w:p>
      <w:pPr>
        <w:pStyle w:val="Heading2"/>
      </w:pPr>
      <w:r>
        <w:rPr>
          <w:rFonts w:ascii="Arial" w:hAnsi="Arial"/>
          <w:color w:val="1F4E79"/>
        </w:rPr>
        <w:t>Estados y observaciones</w:t>
      </w:r>
    </w:p>
    <w:tbl>
      <w:tblPr>
        <w:tblStyle w:val="TableGrid"/>
        <w:tblW w:type="auto" w:w="0"/>
        <w:tblLook w:firstColumn="1" w:firstRow="1" w:lastColumn="0" w:lastRow="0" w:noHBand="0" w:noVBand="1" w:val="04A0"/>
      </w:tblPr>
      <w:tblGrid>
        <w:gridCol w:w="4680"/>
        <w:gridCol w:w="4680"/>
      </w:tblGrid>
      <w:tr>
        <w:tc>
          <w:tcPr>
            <w:tcW w:type="dxa" w:w="4680"/>
            <w:vAlign w:val="center"/>
          </w:tcPr>
          <w:p>
            <w:pPr>
              <w:jc w:val="center"/>
            </w:pPr>
            <w:r>
              <w:rPr>
                <w:rFonts w:ascii="Arial" w:hAnsi="Arial"/>
                <w:b/>
                <w:sz w:val="20"/>
              </w:rPr>
              <w:t>Tipo</w:t>
            </w:r>
          </w:p>
        </w:tc>
        <w:tc>
          <w:tcPr>
            <w:tcW w:type="dxa" w:w="4680"/>
            <w:vAlign w:val="center"/>
          </w:tcPr>
          <w:p>
            <w:pPr>
              <w:jc w:val="center"/>
            </w:pPr>
            <w:r>
              <w:rPr>
                <w:rFonts w:ascii="Arial" w:hAnsi="Arial"/>
                <w:b/>
                <w:sz w:val="20"/>
              </w:rPr>
              <w:t>Valores</w:t>
            </w:r>
          </w:p>
        </w:tc>
      </w:tr>
      <w:tr>
        <w:tc>
          <w:tcPr>
            <w:tcW w:type="dxa" w:w="4680"/>
            <w:vAlign w:val="center"/>
          </w:tcPr>
          <w:p>
            <w:pPr>
              <w:jc w:val="left"/>
            </w:pPr>
            <w:r>
              <w:rPr>
                <w:rFonts w:ascii="Arial" w:hAnsi="Arial"/>
                <w:b w:val="0"/>
                <w:sz w:val="20"/>
              </w:rPr>
              <w:t>Estados ocultos</w:t>
            </w:r>
          </w:p>
        </w:tc>
        <w:tc>
          <w:tcPr>
            <w:tcW w:type="dxa" w:w="4680"/>
            <w:vAlign w:val="center"/>
          </w:tcPr>
          <w:p>
            <w:pPr>
              <w:jc w:val="center"/>
            </w:pPr>
            <w:r>
              <w:rPr>
                <w:rFonts w:ascii="Arial" w:hAnsi="Arial"/>
                <w:b w:val="0"/>
                <w:sz w:val="20"/>
              </w:rPr>
              <w:t>Alta presion, Baja presion</w:t>
            </w:r>
          </w:p>
        </w:tc>
      </w:tr>
      <w:tr>
        <w:tc>
          <w:tcPr>
            <w:tcW w:type="dxa" w:w="4680"/>
            <w:vAlign w:val="center"/>
          </w:tcPr>
          <w:p>
            <w:pPr>
              <w:jc w:val="left"/>
            </w:pPr>
            <w:r>
              <w:rPr>
                <w:rFonts w:ascii="Arial" w:hAnsi="Arial"/>
                <w:b w:val="0"/>
                <w:sz w:val="20"/>
              </w:rPr>
              <w:t>Observaciones visibles</w:t>
            </w:r>
          </w:p>
        </w:tc>
        <w:tc>
          <w:tcPr>
            <w:tcW w:type="dxa" w:w="4680"/>
            <w:vAlign w:val="center"/>
          </w:tcPr>
          <w:p>
            <w:pPr>
              <w:jc w:val="center"/>
            </w:pPr>
            <w:r>
              <w:rPr>
                <w:rFonts w:ascii="Arial" w:hAnsi="Arial"/>
                <w:b w:val="0"/>
                <w:sz w:val="20"/>
              </w:rPr>
              <w:t>Soleado, Nublado, Lluvioso</w:t>
            </w:r>
          </w:p>
        </w:tc>
      </w:tr>
    </w:tbl>
    <w:p/>
    <w:p>
      <w:pPr>
        <w:pStyle w:val="Heading2"/>
      </w:pPr>
      <w:r>
        <w:rPr>
          <w:rFonts w:ascii="Arial" w:hAnsi="Arial"/>
          <w:color w:val="1F4E79"/>
        </w:rPr>
        <w:t>Probabilidades iniciales</w:t>
      </w:r>
    </w:p>
    <w:tbl>
      <w:tblPr>
        <w:tblStyle w:val="TableGrid"/>
        <w:tblW w:type="auto" w:w="0"/>
        <w:tblLook w:firstColumn="1" w:firstRow="1" w:lastColumn="0" w:lastRow="0" w:noHBand="0" w:noVBand="1" w:val="04A0"/>
      </w:tblPr>
      <w:tblGrid>
        <w:gridCol w:w="4680"/>
        <w:gridCol w:w="4680"/>
      </w:tblGrid>
      <w:tr>
        <w:tc>
          <w:tcPr>
            <w:tcW w:type="dxa" w:w="4680"/>
            <w:vAlign w:val="center"/>
          </w:tcPr>
          <w:p>
            <w:pPr>
              <w:jc w:val="center"/>
            </w:pPr>
            <w:r>
              <w:rPr>
                <w:rFonts w:ascii="Arial" w:hAnsi="Arial"/>
                <w:b/>
                <w:sz w:val="20"/>
              </w:rPr>
              <w:t>Estado oculto</w:t>
            </w:r>
          </w:p>
        </w:tc>
        <w:tc>
          <w:tcPr>
            <w:tcW w:type="dxa" w:w="4680"/>
            <w:vAlign w:val="center"/>
          </w:tcPr>
          <w:p>
            <w:pPr>
              <w:jc w:val="center"/>
            </w:pPr>
            <w:r>
              <w:rPr>
                <w:rFonts w:ascii="Arial" w:hAnsi="Arial"/>
                <w:b/>
                <w:sz w:val="20"/>
              </w:rPr>
              <w:t>Probabilidad inicial</w:t>
            </w:r>
          </w:p>
        </w:tc>
      </w:tr>
      <w:tr>
        <w:tc>
          <w:tcPr>
            <w:tcW w:type="dxa" w:w="4680"/>
            <w:vAlign w:val="center"/>
          </w:tcPr>
          <w:p>
            <w:pPr>
              <w:jc w:val="left"/>
            </w:pPr>
            <w:r>
              <w:rPr>
                <w:rFonts w:ascii="Arial" w:hAnsi="Arial"/>
                <w:b w:val="0"/>
                <w:sz w:val="20"/>
              </w:rPr>
              <w:t>Alta presion</w:t>
            </w:r>
          </w:p>
        </w:tc>
        <w:tc>
          <w:tcPr>
            <w:tcW w:type="dxa" w:w="4680"/>
            <w:vAlign w:val="center"/>
          </w:tcPr>
          <w:p>
            <w:pPr>
              <w:jc w:val="center"/>
            </w:pPr>
            <w:r>
              <w:rPr>
                <w:rFonts w:ascii="Arial" w:hAnsi="Arial"/>
                <w:b w:val="0"/>
                <w:sz w:val="20"/>
              </w:rPr>
              <w:t>0.60</w:t>
            </w:r>
          </w:p>
        </w:tc>
      </w:tr>
      <w:tr>
        <w:tc>
          <w:tcPr>
            <w:tcW w:type="dxa" w:w="4680"/>
            <w:vAlign w:val="center"/>
          </w:tcPr>
          <w:p>
            <w:pPr>
              <w:jc w:val="left"/>
            </w:pPr>
            <w:r>
              <w:rPr>
                <w:rFonts w:ascii="Arial" w:hAnsi="Arial"/>
                <w:b w:val="0"/>
                <w:sz w:val="20"/>
              </w:rPr>
              <w:t>Baja presion</w:t>
            </w:r>
          </w:p>
        </w:tc>
        <w:tc>
          <w:tcPr>
            <w:tcW w:type="dxa" w:w="4680"/>
            <w:vAlign w:val="center"/>
          </w:tcPr>
          <w:p>
            <w:pPr>
              <w:jc w:val="center"/>
            </w:pPr>
            <w:r>
              <w:rPr>
                <w:rFonts w:ascii="Arial" w:hAnsi="Arial"/>
                <w:b w:val="0"/>
                <w:sz w:val="20"/>
              </w:rPr>
              <w:t>0.40</w:t>
            </w:r>
          </w:p>
        </w:tc>
      </w:tr>
    </w:tbl>
    <w:p/>
    <w:p>
      <w:pPr>
        <w:pStyle w:val="Heading2"/>
      </w:pPr>
      <w:r>
        <w:rPr>
          <w:rFonts w:ascii="Arial" w:hAnsi="Arial"/>
          <w:color w:val="1F4E79"/>
        </w:rPr>
        <w:t>Matriz de transicion</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pPr>
              <w:jc w:val="center"/>
            </w:pPr>
            <w:r>
              <w:rPr>
                <w:rFonts w:ascii="Arial" w:hAnsi="Arial"/>
                <w:b/>
                <w:sz w:val="20"/>
              </w:rPr>
              <w:t>Estado actual</w:t>
            </w:r>
          </w:p>
        </w:tc>
        <w:tc>
          <w:tcPr>
            <w:tcW w:type="dxa" w:w="3120"/>
            <w:vAlign w:val="center"/>
          </w:tcPr>
          <w:p>
            <w:pPr>
              <w:jc w:val="center"/>
            </w:pPr>
            <w:r>
              <w:rPr>
                <w:rFonts w:ascii="Arial" w:hAnsi="Arial"/>
                <w:b/>
                <w:sz w:val="20"/>
              </w:rPr>
              <w:t>Alta presion</w:t>
            </w:r>
          </w:p>
        </w:tc>
        <w:tc>
          <w:tcPr>
            <w:tcW w:type="dxa" w:w="3120"/>
            <w:vAlign w:val="center"/>
          </w:tcPr>
          <w:p>
            <w:pPr>
              <w:jc w:val="center"/>
            </w:pPr>
            <w:r>
              <w:rPr>
                <w:rFonts w:ascii="Arial" w:hAnsi="Arial"/>
                <w:b/>
                <w:sz w:val="20"/>
              </w:rPr>
              <w:t>Baja presion</w:t>
            </w:r>
          </w:p>
        </w:tc>
      </w:tr>
      <w:tr>
        <w:tc>
          <w:tcPr>
            <w:tcW w:type="dxa" w:w="3120"/>
            <w:vAlign w:val="center"/>
          </w:tcPr>
          <w:p>
            <w:pPr>
              <w:jc w:val="left"/>
            </w:pPr>
            <w:r>
              <w:rPr>
                <w:rFonts w:ascii="Arial" w:hAnsi="Arial"/>
                <w:b w:val="0"/>
                <w:sz w:val="20"/>
              </w:rPr>
              <w:t>Alta presion</w:t>
            </w:r>
          </w:p>
        </w:tc>
        <w:tc>
          <w:tcPr>
            <w:tcW w:type="dxa" w:w="3120"/>
            <w:vAlign w:val="center"/>
          </w:tcPr>
          <w:p>
            <w:pPr>
              <w:jc w:val="center"/>
            </w:pPr>
            <w:r>
              <w:rPr>
                <w:rFonts w:ascii="Arial" w:hAnsi="Arial"/>
                <w:b w:val="0"/>
                <w:sz w:val="20"/>
              </w:rPr>
              <w:t>0.75</w:t>
            </w:r>
          </w:p>
        </w:tc>
        <w:tc>
          <w:tcPr>
            <w:tcW w:type="dxa" w:w="3120"/>
            <w:vAlign w:val="center"/>
          </w:tcPr>
          <w:p>
            <w:pPr>
              <w:jc w:val="center"/>
            </w:pPr>
            <w:r>
              <w:rPr>
                <w:rFonts w:ascii="Arial" w:hAnsi="Arial"/>
                <w:b w:val="0"/>
                <w:sz w:val="20"/>
              </w:rPr>
              <w:t>0.25</w:t>
            </w:r>
          </w:p>
        </w:tc>
      </w:tr>
      <w:tr>
        <w:tc>
          <w:tcPr>
            <w:tcW w:type="dxa" w:w="3120"/>
            <w:vAlign w:val="center"/>
          </w:tcPr>
          <w:p>
            <w:pPr>
              <w:jc w:val="left"/>
            </w:pPr>
            <w:r>
              <w:rPr>
                <w:rFonts w:ascii="Arial" w:hAnsi="Arial"/>
                <w:b w:val="0"/>
                <w:sz w:val="20"/>
              </w:rPr>
              <w:t>Baja presion</w:t>
            </w:r>
          </w:p>
        </w:tc>
        <w:tc>
          <w:tcPr>
            <w:tcW w:type="dxa" w:w="3120"/>
            <w:vAlign w:val="center"/>
          </w:tcPr>
          <w:p>
            <w:pPr>
              <w:jc w:val="center"/>
            </w:pPr>
            <w:r>
              <w:rPr>
                <w:rFonts w:ascii="Arial" w:hAnsi="Arial"/>
                <w:b w:val="0"/>
                <w:sz w:val="20"/>
              </w:rPr>
              <w:t>0.35</w:t>
            </w:r>
          </w:p>
        </w:tc>
        <w:tc>
          <w:tcPr>
            <w:tcW w:type="dxa" w:w="3120"/>
            <w:vAlign w:val="center"/>
          </w:tcPr>
          <w:p>
            <w:pPr>
              <w:jc w:val="center"/>
            </w:pPr>
            <w:r>
              <w:rPr>
                <w:rFonts w:ascii="Arial" w:hAnsi="Arial"/>
                <w:b w:val="0"/>
                <w:sz w:val="20"/>
              </w:rPr>
              <w:t>0.65</w:t>
            </w:r>
          </w:p>
        </w:tc>
      </w:tr>
    </w:tbl>
    <w:p/>
    <w:p>
      <w:pPr>
        <w:pStyle w:val="Heading2"/>
      </w:pPr>
      <w:r>
        <w:rPr>
          <w:rFonts w:ascii="Arial" w:hAnsi="Arial"/>
          <w:color w:val="1F4E79"/>
        </w:rPr>
        <w:t>Matriz de emision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tcPr>
          <w:p>
            <w:pPr>
              <w:jc w:val="center"/>
            </w:pPr>
            <w:r>
              <w:rPr>
                <w:rFonts w:ascii="Arial" w:hAnsi="Arial"/>
                <w:b/>
                <w:sz w:val="20"/>
              </w:rPr>
              <w:t>Estado oculto</w:t>
            </w:r>
          </w:p>
        </w:tc>
        <w:tc>
          <w:tcPr>
            <w:tcW w:type="dxa" w:w="2340"/>
            <w:vAlign w:val="center"/>
          </w:tcPr>
          <w:p>
            <w:pPr>
              <w:jc w:val="center"/>
            </w:pPr>
            <w:r>
              <w:rPr>
                <w:rFonts w:ascii="Arial" w:hAnsi="Arial"/>
                <w:b/>
                <w:sz w:val="20"/>
              </w:rPr>
              <w:t>Soleado</w:t>
            </w:r>
          </w:p>
        </w:tc>
        <w:tc>
          <w:tcPr>
            <w:tcW w:type="dxa" w:w="2340"/>
            <w:vAlign w:val="center"/>
          </w:tcPr>
          <w:p>
            <w:pPr>
              <w:jc w:val="center"/>
            </w:pPr>
            <w:r>
              <w:rPr>
                <w:rFonts w:ascii="Arial" w:hAnsi="Arial"/>
                <w:b/>
                <w:sz w:val="20"/>
              </w:rPr>
              <w:t>Nublado</w:t>
            </w:r>
          </w:p>
        </w:tc>
        <w:tc>
          <w:tcPr>
            <w:tcW w:type="dxa" w:w="2340"/>
            <w:vAlign w:val="center"/>
          </w:tcPr>
          <w:p>
            <w:pPr>
              <w:jc w:val="center"/>
            </w:pPr>
            <w:r>
              <w:rPr>
                <w:rFonts w:ascii="Arial" w:hAnsi="Arial"/>
                <w:b/>
                <w:sz w:val="20"/>
              </w:rPr>
              <w:t>Lluvioso</w:t>
            </w:r>
          </w:p>
        </w:tc>
      </w:tr>
      <w:tr>
        <w:tc>
          <w:tcPr>
            <w:tcW w:type="dxa" w:w="2340"/>
            <w:vAlign w:val="center"/>
          </w:tcPr>
          <w:p>
            <w:pPr>
              <w:jc w:val="left"/>
            </w:pPr>
            <w:r>
              <w:rPr>
                <w:rFonts w:ascii="Arial" w:hAnsi="Arial"/>
                <w:b w:val="0"/>
                <w:sz w:val="20"/>
              </w:rPr>
              <w:t>Alta presion</w:t>
            </w:r>
          </w:p>
        </w:tc>
        <w:tc>
          <w:tcPr>
            <w:tcW w:type="dxa" w:w="2340"/>
            <w:vAlign w:val="center"/>
          </w:tcPr>
          <w:p>
            <w:pPr>
              <w:jc w:val="center"/>
            </w:pPr>
            <w:r>
              <w:rPr>
                <w:rFonts w:ascii="Arial" w:hAnsi="Arial"/>
                <w:b w:val="0"/>
                <w:sz w:val="20"/>
              </w:rPr>
              <w:t>0.70</w:t>
            </w:r>
          </w:p>
        </w:tc>
        <w:tc>
          <w:tcPr>
            <w:tcW w:type="dxa" w:w="2340"/>
            <w:vAlign w:val="center"/>
          </w:tcPr>
          <w:p>
            <w:pPr>
              <w:jc w:val="center"/>
            </w:pPr>
            <w:r>
              <w:rPr>
                <w:rFonts w:ascii="Arial" w:hAnsi="Arial"/>
                <w:b w:val="0"/>
                <w:sz w:val="20"/>
              </w:rPr>
              <w:t>0.25</w:t>
            </w:r>
          </w:p>
        </w:tc>
        <w:tc>
          <w:tcPr>
            <w:tcW w:type="dxa" w:w="2340"/>
            <w:vAlign w:val="center"/>
          </w:tcPr>
          <w:p>
            <w:pPr>
              <w:jc w:val="center"/>
            </w:pPr>
            <w:r>
              <w:rPr>
                <w:rFonts w:ascii="Arial" w:hAnsi="Arial"/>
                <w:b w:val="0"/>
                <w:sz w:val="20"/>
              </w:rPr>
              <w:t>0.05</w:t>
            </w:r>
          </w:p>
        </w:tc>
      </w:tr>
      <w:tr>
        <w:tc>
          <w:tcPr>
            <w:tcW w:type="dxa" w:w="2340"/>
            <w:vAlign w:val="center"/>
          </w:tcPr>
          <w:p>
            <w:pPr>
              <w:jc w:val="left"/>
            </w:pPr>
            <w:r>
              <w:rPr>
                <w:rFonts w:ascii="Arial" w:hAnsi="Arial"/>
                <w:b w:val="0"/>
                <w:sz w:val="20"/>
              </w:rPr>
              <w:t>Baja presion</w:t>
            </w:r>
          </w:p>
        </w:tc>
        <w:tc>
          <w:tcPr>
            <w:tcW w:type="dxa" w:w="2340"/>
            <w:vAlign w:val="center"/>
          </w:tcPr>
          <w:p>
            <w:pPr>
              <w:jc w:val="center"/>
            </w:pPr>
            <w:r>
              <w:rPr>
                <w:rFonts w:ascii="Arial" w:hAnsi="Arial"/>
                <w:b w:val="0"/>
                <w:sz w:val="20"/>
              </w:rPr>
              <w:t>0.15</w:t>
            </w:r>
          </w:p>
        </w:tc>
        <w:tc>
          <w:tcPr>
            <w:tcW w:type="dxa" w:w="2340"/>
            <w:vAlign w:val="center"/>
          </w:tcPr>
          <w:p>
            <w:pPr>
              <w:jc w:val="center"/>
            </w:pPr>
            <w:r>
              <w:rPr>
                <w:rFonts w:ascii="Arial" w:hAnsi="Arial"/>
                <w:b w:val="0"/>
                <w:sz w:val="20"/>
              </w:rPr>
              <w:t>0.35</w:t>
            </w:r>
          </w:p>
        </w:tc>
        <w:tc>
          <w:tcPr>
            <w:tcW w:type="dxa" w:w="2340"/>
            <w:vAlign w:val="center"/>
          </w:tcPr>
          <w:p>
            <w:pPr>
              <w:jc w:val="center"/>
            </w:pPr>
            <w:r>
              <w:rPr>
                <w:rFonts w:ascii="Arial" w:hAnsi="Arial"/>
                <w:b w:val="0"/>
                <w:sz w:val="20"/>
              </w:rPr>
              <w:t>0.50</w:t>
            </w:r>
          </w:p>
        </w:tc>
      </w:tr>
    </w:tbl>
    <w:p/>
    <w:p>
      <w:pPr>
        <w:pStyle w:val="Heading2"/>
      </w:pPr>
      <w:r>
        <w:rPr>
          <w:rFonts w:ascii="Arial" w:hAnsi="Arial"/>
          <w:color w:val="1F4E79"/>
        </w:rPr>
        <w:t>Algoritmo implementado</w:t>
      </w:r>
    </w:p>
    <w:p>
      <w:pPr>
        <w:pStyle w:val="ListNumber"/>
        <w:spacing w:after="80"/>
      </w:pPr>
      <w:r>
        <w:rPr>
          <w:rFonts w:ascii="Arial" w:hAnsi="Arial"/>
          <w:sz w:val="24"/>
        </w:rPr>
        <w:t>Validar probabilidades iniciales, matriz de transicion y matriz de emision.</w:t>
      </w:r>
    </w:p>
    <w:p>
      <w:pPr>
        <w:pStyle w:val="ListNumber"/>
        <w:spacing w:after="80"/>
      </w:pPr>
      <w:r>
        <w:rPr>
          <w:rFonts w:ascii="Arial" w:hAnsi="Arial"/>
          <w:sz w:val="24"/>
        </w:rPr>
        <w:t>Elegir el estado oculto inicial.</w:t>
      </w:r>
    </w:p>
    <w:p>
      <w:pPr>
        <w:pStyle w:val="ListNumber"/>
        <w:spacing w:after="80"/>
      </w:pPr>
      <w:r>
        <w:rPr>
          <w:rFonts w:ascii="Arial" w:hAnsi="Arial"/>
          <w:sz w:val="24"/>
        </w:rPr>
        <w:t>Generar una observacion visible desde ese estado oculto.</w:t>
      </w:r>
    </w:p>
    <w:p>
      <w:pPr>
        <w:pStyle w:val="ListNumber"/>
        <w:spacing w:after="80"/>
      </w:pPr>
      <w:r>
        <w:rPr>
          <w:rFonts w:ascii="Arial" w:hAnsi="Arial"/>
          <w:sz w:val="24"/>
        </w:rPr>
        <w:t>Cambiar al siguiente estado oculto usando la matriz de transicion.</w:t>
      </w:r>
    </w:p>
    <w:p>
      <w:pPr>
        <w:pStyle w:val="ListNumber"/>
        <w:spacing w:after="80"/>
      </w:pPr>
      <w:r>
        <w:rPr>
          <w:rFonts w:ascii="Arial" w:hAnsi="Arial"/>
          <w:sz w:val="24"/>
        </w:rPr>
        <w:t>Generar una nueva observacion usando la matriz de emision.</w:t>
      </w:r>
    </w:p>
    <w:p>
      <w:pPr>
        <w:pStyle w:val="ListNumber"/>
        <w:spacing w:after="80"/>
      </w:pPr>
      <w:r>
        <w:rPr>
          <w:rFonts w:ascii="Arial" w:hAnsi="Arial"/>
          <w:sz w:val="24"/>
        </w:rPr>
        <w:t>Repetir el proceso y ejecutar muchas simulaciones para obtener resultados agregados.</w:t>
      </w:r>
    </w:p>
    <w:p>
      <w:pPr>
        <w:sectPr>
          <w:headerReference w:type="default" r:id="rId9"/>
          <w:footerReference w:type="default" r:id="rId10"/>
          <w:pgSz w:w="12240" w:h="15840"/>
          <w:pgMar w:top="1440" w:right="1440" w:bottom="1440" w:left="1440" w:header="720" w:footer="720" w:gutter="0"/>
          <w:cols w:space="720"/>
          <w:docGrid w:linePitch="360"/>
        </w:sectPr>
      </w:pPr>
    </w:p>
    <w:p>
      <w:pPr>
        <w:pStyle w:val="Heading1"/>
      </w:pPr>
      <w:r>
        <w:rPr>
          <w:rFonts w:ascii="Arial" w:hAnsi="Arial"/>
          <w:color w:val="1F4E79"/>
        </w:rPr>
        <w:t>Resultados y conclusiones</w:t>
      </w:r>
    </w:p>
    <w:p>
      <w:pPr>
        <w:spacing w:after="120" w:line="259" w:lineRule="auto"/>
      </w:pPr>
      <w:r>
        <w:rPr>
          <w:rFonts w:ascii="Arial" w:hAnsi="Arial"/>
          <w:sz w:val="24"/>
        </w:rPr>
        <w:t>Se ejecuto una prueba con 1000 simulaciones, 20 pasos por simulacion y semilla 42. La simulacion produjo secuencias de estados ocultos y observaciones visibles.</w:t>
      </w:r>
    </w:p>
    <w:p>
      <w:pPr>
        <w:pStyle w:val="Heading2"/>
      </w:pPr>
      <w:r>
        <w:rPr>
          <w:rFonts w:ascii="Arial" w:hAnsi="Arial"/>
          <w:color w:val="1F4E79"/>
        </w:rPr>
        <w:t>Resultados agregados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pPr>
              <w:jc w:val="center"/>
            </w:pPr>
            <w:r>
              <w:rPr>
                <w:rFonts w:ascii="Arial" w:hAnsi="Arial"/>
                <w:b/>
                <w:sz w:val="20"/>
              </w:rPr>
              <w:t>Medida</w:t>
            </w:r>
          </w:p>
        </w:tc>
        <w:tc>
          <w:tcPr>
            <w:tcW w:type="dxa" w:w="3120"/>
            <w:vAlign w:val="center"/>
          </w:tcPr>
          <w:p>
            <w:pPr>
              <w:jc w:val="center"/>
            </w:pPr>
            <w:r>
              <w:rPr>
                <w:rFonts w:ascii="Arial" w:hAnsi="Arial"/>
                <w:b/>
                <w:sz w:val="20"/>
              </w:rPr>
              <w:t>Alta presion</w:t>
            </w:r>
          </w:p>
        </w:tc>
        <w:tc>
          <w:tcPr>
            <w:tcW w:type="dxa" w:w="3120"/>
            <w:vAlign w:val="center"/>
          </w:tcPr>
          <w:p>
            <w:pPr>
              <w:jc w:val="center"/>
            </w:pPr>
            <w:r>
              <w:rPr>
                <w:rFonts w:ascii="Arial" w:hAnsi="Arial"/>
                <w:b/>
                <w:sz w:val="20"/>
              </w:rPr>
              <w:t>Baja presion</w:t>
            </w:r>
          </w:p>
        </w:tc>
      </w:tr>
      <w:tr>
        <w:tc>
          <w:tcPr>
            <w:tcW w:type="dxa" w:w="3120"/>
            <w:vAlign w:val="center"/>
          </w:tcPr>
          <w:p>
            <w:pPr>
              <w:jc w:val="left"/>
            </w:pPr>
            <w:r>
              <w:rPr>
                <w:rFonts w:ascii="Arial" w:hAnsi="Arial"/>
                <w:b w:val="0"/>
                <w:sz w:val="20"/>
              </w:rPr>
              <w:t>Distribucion observada de estados ocultos</w:t>
            </w:r>
          </w:p>
        </w:tc>
        <w:tc>
          <w:tcPr>
            <w:tcW w:type="dxa" w:w="3120"/>
            <w:vAlign w:val="center"/>
          </w:tcPr>
          <w:p>
            <w:pPr>
              <w:jc w:val="center"/>
            </w:pPr>
            <w:r>
              <w:rPr>
                <w:rFonts w:ascii="Arial" w:hAnsi="Arial"/>
                <w:b w:val="0"/>
                <w:sz w:val="20"/>
              </w:rPr>
              <w:t>0.5806</w:t>
            </w:r>
          </w:p>
        </w:tc>
        <w:tc>
          <w:tcPr>
            <w:tcW w:type="dxa" w:w="3120"/>
            <w:vAlign w:val="center"/>
          </w:tcPr>
          <w:p>
            <w:pPr>
              <w:jc w:val="center"/>
            </w:pPr>
            <w:r>
              <w:rPr>
                <w:rFonts w:ascii="Arial" w:hAnsi="Arial"/>
                <w:b w:val="0"/>
                <w:sz w:val="20"/>
              </w:rPr>
              <w:t>0.4194</w:t>
            </w:r>
          </w:p>
        </w:tc>
      </w:tr>
      <w:tr>
        <w:tc>
          <w:tcPr>
            <w:tcW w:type="dxa" w:w="3120"/>
            <w:vAlign w:val="center"/>
          </w:tcPr>
          <w:p>
            <w:pPr>
              <w:jc w:val="left"/>
            </w:pPr>
            <w:r>
              <w:rPr>
                <w:rFonts w:ascii="Arial" w:hAnsi="Arial"/>
                <w:b w:val="0"/>
                <w:sz w:val="20"/>
              </w:rPr>
              <w:t>Distribucion estacionaria aproximada</w:t>
            </w:r>
          </w:p>
        </w:tc>
        <w:tc>
          <w:tcPr>
            <w:tcW w:type="dxa" w:w="3120"/>
            <w:vAlign w:val="center"/>
          </w:tcPr>
          <w:p>
            <w:pPr>
              <w:jc w:val="center"/>
            </w:pPr>
            <w:r>
              <w:rPr>
                <w:rFonts w:ascii="Arial" w:hAnsi="Arial"/>
                <w:b w:val="0"/>
                <w:sz w:val="20"/>
              </w:rPr>
              <w:t>0.5833</w:t>
            </w:r>
          </w:p>
        </w:tc>
        <w:tc>
          <w:tcPr>
            <w:tcW w:type="dxa" w:w="3120"/>
            <w:vAlign w:val="center"/>
          </w:tcPr>
          <w:p>
            <w:pPr>
              <w:jc w:val="center"/>
            </w:pPr>
            <w:r>
              <w:rPr>
                <w:rFonts w:ascii="Arial" w:hAnsi="Arial"/>
                <w:b w:val="0"/>
                <w:sz w:val="20"/>
              </w:rPr>
              <w:t>0.4167</w:t>
            </w:r>
          </w:p>
        </w:tc>
      </w:tr>
    </w:tbl>
    <w:p/>
    <w:tbl>
      <w:tblPr>
        <w:tblStyle w:val="TableGrid"/>
        <w:tblW w:type="auto" w:w="0"/>
        <w:tblLook w:firstColumn="1" w:firstRow="1" w:lastColumn="0" w:lastRow="0" w:noHBand="0" w:noVBand="1" w:val="04A0"/>
      </w:tblPr>
      <w:tblGrid>
        <w:gridCol w:w="4680"/>
        <w:gridCol w:w="4680"/>
      </w:tblGrid>
      <w:tr>
        <w:tc>
          <w:tcPr>
            <w:tcW w:type="dxa" w:w="4680"/>
            <w:vAlign w:val="center"/>
          </w:tcPr>
          <w:p>
            <w:pPr>
              <w:jc w:val="center"/>
            </w:pPr>
            <w:r>
              <w:rPr>
                <w:rFonts w:ascii="Arial" w:hAnsi="Arial"/>
                <w:b/>
                <w:sz w:val="20"/>
              </w:rPr>
              <w:t>Observacion visible</w:t>
            </w:r>
          </w:p>
        </w:tc>
        <w:tc>
          <w:tcPr>
            <w:tcW w:type="dxa" w:w="4680"/>
            <w:vAlign w:val="center"/>
          </w:tcPr>
          <w:p>
            <w:pPr>
              <w:jc w:val="center"/>
            </w:pPr>
            <w:r>
              <w:rPr>
                <w:rFonts w:ascii="Arial" w:hAnsi="Arial"/>
                <w:b/>
                <w:sz w:val="20"/>
              </w:rPr>
              <w:t>Frecuencia observada</w:t>
            </w:r>
          </w:p>
        </w:tc>
      </w:tr>
      <w:tr>
        <w:tc>
          <w:tcPr>
            <w:tcW w:type="dxa" w:w="4680"/>
            <w:vAlign w:val="center"/>
          </w:tcPr>
          <w:p>
            <w:pPr>
              <w:jc w:val="left"/>
            </w:pPr>
            <w:r>
              <w:rPr>
                <w:rFonts w:ascii="Arial" w:hAnsi="Arial"/>
                <w:b w:val="0"/>
                <w:sz w:val="20"/>
              </w:rPr>
              <w:t>Soleado</w:t>
            </w:r>
          </w:p>
        </w:tc>
        <w:tc>
          <w:tcPr>
            <w:tcW w:type="dxa" w:w="4680"/>
            <w:vAlign w:val="center"/>
          </w:tcPr>
          <w:p>
            <w:pPr>
              <w:jc w:val="center"/>
            </w:pPr>
            <w:r>
              <w:rPr>
                <w:rFonts w:ascii="Arial" w:hAnsi="Arial"/>
                <w:b w:val="0"/>
                <w:sz w:val="20"/>
              </w:rPr>
              <w:t>0.4677</w:t>
            </w:r>
          </w:p>
        </w:tc>
      </w:tr>
      <w:tr>
        <w:tc>
          <w:tcPr>
            <w:tcW w:type="dxa" w:w="4680"/>
            <w:vAlign w:val="center"/>
          </w:tcPr>
          <w:p>
            <w:pPr>
              <w:jc w:val="left"/>
            </w:pPr>
            <w:r>
              <w:rPr>
                <w:rFonts w:ascii="Arial" w:hAnsi="Arial"/>
                <w:b w:val="0"/>
                <w:sz w:val="20"/>
              </w:rPr>
              <w:t>Nublado</w:t>
            </w:r>
          </w:p>
        </w:tc>
        <w:tc>
          <w:tcPr>
            <w:tcW w:type="dxa" w:w="4680"/>
            <w:vAlign w:val="center"/>
          </w:tcPr>
          <w:p>
            <w:pPr>
              <w:jc w:val="center"/>
            </w:pPr>
            <w:r>
              <w:rPr>
                <w:rFonts w:ascii="Arial" w:hAnsi="Arial"/>
                <w:b w:val="0"/>
                <w:sz w:val="20"/>
              </w:rPr>
              <w:t>0.2959</w:t>
            </w:r>
          </w:p>
        </w:tc>
      </w:tr>
      <w:tr>
        <w:tc>
          <w:tcPr>
            <w:tcW w:type="dxa" w:w="4680"/>
            <w:vAlign w:val="center"/>
          </w:tcPr>
          <w:p>
            <w:pPr>
              <w:jc w:val="left"/>
            </w:pPr>
            <w:r>
              <w:rPr>
                <w:rFonts w:ascii="Arial" w:hAnsi="Arial"/>
                <w:b w:val="0"/>
                <w:sz w:val="20"/>
              </w:rPr>
              <w:t>Lluvioso</w:t>
            </w:r>
          </w:p>
        </w:tc>
        <w:tc>
          <w:tcPr>
            <w:tcW w:type="dxa" w:w="4680"/>
            <w:vAlign w:val="center"/>
          </w:tcPr>
          <w:p>
            <w:pPr>
              <w:jc w:val="center"/>
            </w:pPr>
            <w:r>
              <w:rPr>
                <w:rFonts w:ascii="Arial" w:hAnsi="Arial"/>
                <w:b w:val="0"/>
                <w:sz w:val="20"/>
              </w:rPr>
              <w:t>0.2364</w:t>
            </w:r>
          </w:p>
        </w:tc>
      </w:tr>
    </w:tbl>
    <w:p/>
    <w:p>
      <w:pPr>
        <w:spacing w:after="120" w:line="259" w:lineRule="auto"/>
      </w:pPr>
      <w:r>
        <w:rPr>
          <w:rFonts w:ascii="Arial" w:hAnsi="Arial"/>
          <w:sz w:val="24"/>
        </w:rPr>
        <w:t>Los resultados muestran que el sistema tiende a pasar mas tiempo en Alta presion. Tambien se observa que Soleado aparece con mayor frecuencia, lo cual es coherente con la matriz de emision.</w:t>
      </w:r>
    </w:p>
    <w:p>
      <w:pPr>
        <w:spacing w:after="120" w:line="259" w:lineRule="auto"/>
      </w:pPr>
      <w:r>
        <w:rPr>
          <w:rFonts w:ascii="Arial" w:hAnsi="Arial"/>
          <w:sz w:val="24"/>
        </w:rPr>
        <w:t>Como conclusion, el HMM permite representar procesos donde existe informacion no observable directamente. En este caso, las condiciones de presion atmosferica son los estados ocultos y el clima visible son las observaciones.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8"/>
      </w:rPr>
      <w:t>Actividad didactica 2-M2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8"/>
      </w:rPr>
      <w:t>Modelo Oculto de Markov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