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1000" w:lineRule="exact"/>
      </w:pPr>
    </w:p>
    <w:p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 xml:space="preserve">Answer Key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Part A — Multiple Choice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1900"/>
        <w:gridCol w:w="7216"/>
      </w:tblGrid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#</w:t>
            </w:r>
          </w:p>
        </w:tc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Bloom level</w:t>
            </w:r>
          </w:p>
        </w:tc>
        <w:tc>
          <w:tcPr>
            <w:tcW w:w="72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Correct answer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Remember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heterozygous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2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Remember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An alternative form of a single gene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Remember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genetic recombination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4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Understand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The two alleles for each trait separate during meiosis and unite again at fertilization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5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Understand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They are located close together on the same chromosome, so they tend to be inherited together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6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Understand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The green allele was still present in the </w:t>
            </w:r>
            <w:r>
              <w:rPr>
                <w:sz w:val="22"/>
                <w:szCs w:val="22"/>
                <w:lang w:bidi="ar-AE"/>
              </w:rPr>
              <w:t xml:space="preserve">F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 generation but was masked by the dominant yellow allele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7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Apply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1/4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8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Apply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1:1 black to white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9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Apply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9%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10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Analyze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EGHF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Analyze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1/16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12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Evaluate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Incorrect: the law applies to genes on separate chromosomes; linked genes close together on the same chromosome are an exception, not a disproof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13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  <w:lang w:bidi="ar-AE"/>
              </w:rPr>
              <w:t xml:space="preserve">Evaluate</w:t>
            </w:r>
          </w:p>
        </w:tc>
        <w:tc>
          <w:tcPr>
            <w:tcW w:w="7216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Incorrect: many crops such as wheat (6n), oats (6n) and sugar cane (8n) are polyploid, and polyploid plants often have increased vigor and size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000" w:lineRule="exact"/>
      </w:pPr>
    </w:p>
    <w:p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B — Model Answers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</w:trPr>
        <w:tc>
          <w:tcPr>
            <w:tcW w:w="9816" w:type="dxa"/>
            <w:gridSpan w:val="6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 14</w:t>
            </w:r>
            <w:r>
              <w:rPr>
                <w:color w:val="595959"/>
                <w:sz w:val="20"/>
                <w:szCs w:val="20"/>
                <w:lang w:bidi="ar-AE"/>
              </w:rPr>
              <w:t xml:space="preserve">    (Create)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In pea plants, yellow seed color (Y) is dominant to green seed color (y). Two heterozygous yellow-seed plants are crossed. Construct a prediction for this cross: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sz w:val="22"/>
                <w:szCs w:val="22"/>
                <w:lang w:bidi="ar-AE"/>
              </w:rPr>
              <w:t xml:space="preserve">(a) Parents: Yy × Yy. Gametes: each parent produces Y and y gametes (½ Y and ½ y).</w:t>
            </w:r>
          </w:p>
          <w:p>
            <w:pPr>
              <w:keepNext/>
              <w:spacing w:before="60" w:after="60"/>
            </w:pPr>
            <w:r>
              <w:rPr>
                <w:sz w:val="22"/>
                <w:szCs w:val="22"/>
                <w:lang w:bidi="ar-AE"/>
              </w:rPr>
              <w:t xml:space="preserve">(b) Punnett square: see the table below (offspring: YY, Yy, Yy, yy).</w:t>
            </w:r>
          </w:p>
          <w:p>
            <w:pPr>
              <w:keepNext/>
              <w:spacing w:before="60" w:after="60"/>
            </w:pPr>
            <w:r>
              <w:rPr>
                <w:sz w:val="22"/>
                <w:szCs w:val="22"/>
                <w:lang w:bidi="ar-AE"/>
              </w:rPr>
              <w:t xml:space="preserve">(c) Genotypic ratio = 1 YY : 2 Yy : 1 yy. Phenotypic ratio = 3 yellow : 1 green.</w:t>
            </w:r>
          </w:p>
          <w:p>
            <w:pPr>
              <w:keepNext/>
              <w:spacing w:before="60" w:after="60"/>
            </w:pPr>
            <w:r>
              <w:rPr>
                <w:sz w:val="22"/>
                <w:szCs w:val="22"/>
                <w:lang w:bidi="ar-AE"/>
              </w:rPr>
              <w:t xml:space="preserve">(d) The probability of green seeds (yy) = ½ × ½ = ¼ (25%).</w:t>
            </w:r>
          </w:p>
        </w:tc>
      </w:tr>
    </w:tbl>
    <w:p>
      <w:pPr>
        <w:keepNext/>
        <w:spacing w:before="40" w:after="60"/>
        <w:jc w:val="center"/>
      </w:pPr>
      <w:r>
        <w:rPr>
          <w:b/>
          <w:bCs/>
          <w:sz w:val="22"/>
          <w:szCs w:val="22"/>
          <w:lang w:bidi="ar-AE"/>
        </w:rPr>
        <w:t xml:space="preserve">Punnett square for question 14(b):</w:t>
      </w:r>
    </w:p>
    <w:tbl>
      <w:tblPr>
        <w:tblW w:w="3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300"/>
        <w:gridCol w:w="1300"/>
        <w:gridCol w:w="1300"/>
      </w:tblGrid>
      <w:tr>
        <w:trPr>
          <w:cantSplit/>
        </w:trPr>
        <w:tc>
          <w:tcPr>
            <w:tcW w:w="1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4"/>
                <w:szCs w:val="24"/>
                <w:lang w:bidi="ar-AE"/>
              </w:rPr>
              <w:t xml:space="preserve"/>
            </w:r>
          </w:p>
        </w:tc>
        <w:tc>
          <w:tcPr>
            <w:tcW w:w="1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Y</w:t>
            </w:r>
          </w:p>
        </w:tc>
        <w:tc>
          <w:tcPr>
            <w:tcW w:w="1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y</w:t>
            </w:r>
          </w:p>
        </w:tc>
      </w:tr>
      <w:tr>
        <w:trPr>
          <w:cantSplit/>
        </w:trPr>
        <w:tc>
          <w:tcPr>
            <w:tcW w:w="1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Y</w:t>
            </w:r>
          </w:p>
        </w:tc>
        <w:tc>
          <w:tcPr>
            <w:tcW w:w="1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4"/>
                <w:szCs w:val="24"/>
                <w:lang w:bidi="ar-AE"/>
              </w:rPr>
              <w:t xml:space="preserve">YY</w:t>
            </w:r>
          </w:p>
        </w:tc>
        <w:tc>
          <w:tcPr>
            <w:tcW w:w="1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4"/>
                <w:szCs w:val="24"/>
                <w:lang w:bidi="ar-AE"/>
              </w:rPr>
              <w:t xml:space="preserve">Yy</w:t>
            </w:r>
          </w:p>
        </w:tc>
      </w:tr>
      <w:tr>
        <w:trPr>
          <w:cantSplit/>
        </w:trPr>
        <w:tc>
          <w:tcPr>
            <w:tcW w:w="1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y</w:t>
            </w:r>
          </w:p>
        </w:tc>
        <w:tc>
          <w:tcPr>
            <w:tcW w:w="1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4"/>
                <w:szCs w:val="24"/>
                <w:lang w:bidi="ar-AE"/>
              </w:rPr>
              <w:t xml:space="preserve">Yy</w:t>
            </w:r>
          </w:p>
        </w:tc>
        <w:tc>
          <w:tcPr>
            <w:tcW w:w="1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4"/>
                <w:szCs w:val="24"/>
                <w:lang w:bidi="ar-AE"/>
              </w:rPr>
              <w:t xml:space="preserve">yy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000" w:lineRule="exact"/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</w:trPr>
        <w:tc>
          <w:tcPr>
            <w:tcW w:w="9816" w:type="dxa"/>
            <w:gridSpan w:val="6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 15</w:t>
            </w:r>
            <w:r>
              <w:rPr>
                <w:color w:val="595959"/>
                <w:sz w:val="20"/>
                <w:szCs w:val="20"/>
                <w:lang w:bidi="ar-AE"/>
              </w:rPr>
              <w:t xml:space="preserve">    (Evaluate)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student constructs a chromosome map for genes A, B, C and D from these crossing-over data: A–D = 25%, A–B = 30%, C–D = 15%, B–D = 5% and B–C = 20%. The student concludes that the order is A–B–C–D. Evaluate this conclusion: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60"/>
            </w:pPr>
            <w:r>
              <w:rPr>
                <w:sz w:val="22"/>
                <w:szCs w:val="22"/>
                <w:lang w:bidi="ar-AE"/>
              </w:rPr>
              <w:t xml:space="preserve">(a) The conclusion is incorrect.</w:t>
            </w:r>
          </w:p>
          <w:p>
            <w:pPr>
              <w:keepNext/>
              <w:spacing w:before="60" w:after="60"/>
            </w:pPr>
            <w:r>
              <w:rPr>
                <w:sz w:val="22"/>
                <w:szCs w:val="22"/>
                <w:lang w:bidi="ar-AE"/>
              </w:rPr>
              <w:t xml:space="preserve">(b) The correct order is A–C–D–B. The distances are A–C = 10, C–D = 15 and D–B = 5 map units (check: A–D = 25, A–B = 30, B–C = 20, which match the data). If the order were A–B–C–D, A and D would be 65 units apart, not 25.</w:t>
            </w:r>
          </w:p>
          <w:p>
            <w:pPr>
              <w:keepNext/>
              <w:spacing w:before="60" w:after="60"/>
            </w:pPr>
            <w:r>
              <w:rPr>
                <w:sz w:val="22"/>
                <w:szCs w:val="22"/>
                <w:lang w:bidi="ar-AE"/>
              </w:rPr>
              <w:t xml:space="preserve">(c) Crossing over occurs more frequently between genes that are far apart than between genes that are close together, so a higher crossing-over frequency means a greater distance (1% crossing over = 1 map unit).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sectPr w:rsidR="00F3450B" w:rsidRPr="00D92E0D" w:rsidSect="006831DA">
      <w:footerReference w:type="default" r:id="rId9"/>
      <w:pgSz w:w="12240" w:h="15840"/>
      <w:pgMar w:top="27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2C9" w14:textId="77777777" w:rsidR="00A46079" w:rsidRDefault="00A46079" w:rsidP="006831DA">
      <w:pPr>
        <w:spacing w:after="0" w:line="240" w:lineRule="auto"/>
      </w:pPr>
      <w:r>
        <w:separator/>
      </w:r>
    </w:p>
  </w:endnote>
  <w:endnote w:type="continuationSeparator" w:id="0">
    <w:p w14:paraId="3EED42D1" w14:textId="77777777" w:rsidR="00A46079" w:rsidRDefault="00A46079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3B00" w14:textId="77777777" w:rsidR="00A46079" w:rsidRDefault="00A46079" w:rsidP="006831DA">
      <w:pPr>
        <w:spacing w:after="0" w:line="240" w:lineRule="auto"/>
      </w:pPr>
      <w:r>
        <w:separator/>
      </w:r>
    </w:p>
  </w:footnote>
  <w:footnote w:type="continuationSeparator" w:id="0">
    <w:p w14:paraId="3C150E7D" w14:textId="77777777" w:rsidR="00A46079" w:rsidRDefault="00A46079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35</cp:revision>
  <dcterms:created xsi:type="dcterms:W3CDTF">2026-02-06T04:20:00Z</dcterms:created>
  <dcterms:modified xsi:type="dcterms:W3CDTF">2026-09-17T23:27:00Z</dcterms:modified>
</cp:coreProperties>
</file>